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F02E3" w14:textId="77777777" w:rsidR="00E3745D" w:rsidRPr="00E3745D" w:rsidRDefault="00E3745D" w:rsidP="00E3745D">
      <w:pPr>
        <w:keepNext/>
        <w:keepLines/>
        <w:spacing w:before="120" w:after="80" w:line="240" w:lineRule="auto"/>
        <w:jc w:val="center"/>
        <w:outlineLvl w:val="1"/>
        <w:rPr>
          <w:rFonts w:ascii="Aptos" w:eastAsiaTheme="majorEastAsia" w:hAnsi="Aptos" w:cstheme="majorBidi"/>
          <w:i/>
          <w:iCs/>
          <w:color w:val="0F4761" w:themeColor="accent1" w:themeShade="BF"/>
          <w:kern w:val="0"/>
          <w:sz w:val="32"/>
          <w:szCs w:val="32"/>
          <w14:ligatures w14:val="none"/>
        </w:rPr>
      </w:pPr>
      <w:r w:rsidRPr="00E3745D">
        <w:rPr>
          <w:rFonts w:ascii="Aptos" w:eastAsiaTheme="majorEastAsia" w:hAnsi="Aptos" w:cstheme="majorBidi"/>
          <w:i/>
          <w:iCs/>
          <w:color w:val="0F4761" w:themeColor="accent1" w:themeShade="BF"/>
          <w:kern w:val="0"/>
          <w:sz w:val="32"/>
          <w:szCs w:val="32"/>
          <w14:ligatures w14:val="none"/>
        </w:rPr>
        <w:t>Annex 4</w:t>
      </w:r>
    </w:p>
    <w:p w14:paraId="019EC770" w14:textId="77777777" w:rsidR="00E3745D" w:rsidRPr="00E3745D" w:rsidRDefault="00E3745D" w:rsidP="00E3745D">
      <w:pPr>
        <w:keepNext/>
        <w:keepLines/>
        <w:spacing w:before="120" w:after="80" w:line="240" w:lineRule="auto"/>
        <w:jc w:val="center"/>
        <w:outlineLvl w:val="1"/>
        <w:rPr>
          <w:rFonts w:ascii="Aptos" w:eastAsiaTheme="majorEastAsia" w:hAnsi="Aptos" w:cstheme="majorBidi"/>
          <w:i/>
          <w:iCs/>
          <w:color w:val="0F4761" w:themeColor="accent1" w:themeShade="BF"/>
          <w:kern w:val="0"/>
          <w:sz w:val="32"/>
          <w:szCs w:val="32"/>
          <w14:ligatures w14:val="none"/>
        </w:rPr>
      </w:pPr>
      <w:bookmarkStart w:id="0" w:name="_heading=h.983h6t4piu1r" w:colFirst="0" w:colLast="0"/>
      <w:bookmarkEnd w:id="0"/>
      <w:r w:rsidRPr="00E3745D">
        <w:rPr>
          <w:rFonts w:ascii="Aptos" w:eastAsiaTheme="majorEastAsia" w:hAnsi="Aptos" w:cstheme="majorBidi"/>
          <w:i/>
          <w:iCs/>
          <w:color w:val="0F4761" w:themeColor="accent1" w:themeShade="BF"/>
          <w:kern w:val="0"/>
          <w:sz w:val="32"/>
          <w:szCs w:val="32"/>
          <w14:ligatures w14:val="none"/>
        </w:rPr>
        <w:t>Service Level Agreement</w:t>
      </w:r>
    </w:p>
    <w:p w14:paraId="4355C8A9" w14:textId="77777777" w:rsidR="00E3745D" w:rsidRPr="00E3745D" w:rsidRDefault="00E3745D" w:rsidP="00E3745D">
      <w:pPr>
        <w:widowControl w:val="0"/>
        <w:numPr>
          <w:ilvl w:val="0"/>
          <w:numId w:val="2"/>
        </w:numPr>
        <w:spacing w:before="120" w:after="120" w:line="276" w:lineRule="auto"/>
        <w:ind w:left="360"/>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 xml:space="preserve">Availability of ESM Website </w:t>
      </w:r>
    </w:p>
    <w:p w14:paraId="4CFFE558" w14:textId="77777777" w:rsidR="00E3745D" w:rsidRPr="00E3745D" w:rsidRDefault="00E3745D" w:rsidP="00E3745D">
      <w:pPr>
        <w:widowControl w:val="0"/>
        <w:spacing w:before="120" w:after="120" w:line="276" w:lineRule="auto"/>
        <w:jc w:val="both"/>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 xml:space="preserve">The Service provider will ensure that the ESM Website is accessible to the ESM and to anonymous visitors 24 hours a day, 7 days a week, 365 days a year excluding scheduled maintenance or pre-agreed outage periods. </w:t>
      </w:r>
    </w:p>
    <w:p w14:paraId="100E4022" w14:textId="77777777" w:rsidR="00E3745D" w:rsidRPr="00E3745D" w:rsidRDefault="00E3745D" w:rsidP="00E3745D">
      <w:pPr>
        <w:widowControl w:val="0"/>
        <w:spacing w:before="120" w:after="120" w:line="276" w:lineRule="auto"/>
        <w:jc w:val="both"/>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 xml:space="preserve">Scheduled maintenance windows will be agreed with the ESM in advance in writing via the TMT. </w:t>
      </w:r>
    </w:p>
    <w:p w14:paraId="0DBEFFB1" w14:textId="77777777" w:rsidR="00E3745D" w:rsidRPr="00E3745D" w:rsidRDefault="00E3745D" w:rsidP="00E3745D">
      <w:pPr>
        <w:widowControl w:val="0"/>
        <w:spacing w:before="120" w:after="120" w:line="276" w:lineRule="auto"/>
        <w:jc w:val="both"/>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The Service provider guarantees a minimum availability standard for the ESM Website of 99.95% (the “</w:t>
      </w:r>
      <w:r w:rsidRPr="00E3745D">
        <w:rPr>
          <w:rFonts w:ascii="Aptos" w:eastAsia="Times New Roman" w:hAnsi="Aptos" w:cs="Times New Roman"/>
          <w:b/>
          <w:bCs/>
          <w:kern w:val="0"/>
          <w:sz w:val="20"/>
          <w:szCs w:val="20"/>
          <w14:ligatures w14:val="none"/>
        </w:rPr>
        <w:t>Availability Standard</w:t>
      </w:r>
      <w:r w:rsidRPr="00E3745D">
        <w:rPr>
          <w:rFonts w:ascii="Aptos" w:eastAsia="Times New Roman" w:hAnsi="Aptos" w:cs="Times New Roman"/>
          <w:kern w:val="0"/>
          <w:sz w:val="20"/>
          <w:szCs w:val="20"/>
          <w14:ligatures w14:val="none"/>
        </w:rPr>
        <w:t xml:space="preserve">”) during any given month. </w:t>
      </w:r>
    </w:p>
    <w:p w14:paraId="7363EAA3" w14:textId="77777777" w:rsidR="00E3745D" w:rsidRPr="00E3745D" w:rsidRDefault="00E3745D" w:rsidP="00E3745D">
      <w:pPr>
        <w:widowControl w:val="0"/>
        <w:spacing w:before="120" w:after="120" w:line="276" w:lineRule="auto"/>
        <w:jc w:val="both"/>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The Service provider must agree planned outages 2 working days in advance with the ESM and schedule these outside ESM core-working hours (08:00 – 18:00 CET/CEST) to minimise any disruption to the ESM.</w:t>
      </w:r>
    </w:p>
    <w:p w14:paraId="5B2D580A" w14:textId="77777777" w:rsidR="00E3745D" w:rsidRPr="00E3745D" w:rsidRDefault="00E3745D" w:rsidP="00E3745D">
      <w:pPr>
        <w:widowControl w:val="0"/>
        <w:numPr>
          <w:ilvl w:val="0"/>
          <w:numId w:val="2"/>
        </w:numPr>
        <w:spacing w:before="120" w:after="120" w:line="276" w:lineRule="auto"/>
        <w:ind w:left="360"/>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Incident Management</w:t>
      </w:r>
    </w:p>
    <w:p w14:paraId="759755F7" w14:textId="77777777" w:rsidR="00E3745D" w:rsidRPr="00E3745D" w:rsidRDefault="00E3745D" w:rsidP="00E3745D">
      <w:pPr>
        <w:widowControl w:val="0"/>
        <w:spacing w:before="120" w:after="120" w:line="276" w:lineRule="auto"/>
        <w:jc w:val="both"/>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Incidents are pre-categorised by the Service provider, with the initial categorisation being subject to confirmation by the ESM according to three severity levels as defined below:</w:t>
      </w:r>
    </w:p>
    <w:tbl>
      <w:tblPr>
        <w:tblW w:w="9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3"/>
        <w:gridCol w:w="1373"/>
        <w:gridCol w:w="2630"/>
        <w:gridCol w:w="1848"/>
        <w:gridCol w:w="1680"/>
      </w:tblGrid>
      <w:tr w:rsidR="00E3745D" w:rsidRPr="00E3745D" w14:paraId="3FCAE4F0" w14:textId="77777777" w:rsidTr="00FD526F">
        <w:trPr>
          <w:trHeight w:val="893"/>
        </w:trPr>
        <w:tc>
          <w:tcPr>
            <w:tcW w:w="1873" w:type="dxa"/>
          </w:tcPr>
          <w:p w14:paraId="49C9D8DE" w14:textId="77777777" w:rsidR="00E3745D" w:rsidRPr="00E3745D" w:rsidRDefault="00E3745D" w:rsidP="00E3745D">
            <w:pPr>
              <w:widowControl w:val="0"/>
              <w:spacing w:before="120" w:after="120" w:line="276" w:lineRule="auto"/>
              <w:jc w:val="center"/>
              <w:rPr>
                <w:rFonts w:ascii="Aptos" w:eastAsia="Calibri" w:hAnsi="Aptos" w:cs="Calibri"/>
                <w:b/>
                <w:bCs/>
                <w:kern w:val="0"/>
                <w:sz w:val="20"/>
                <w:szCs w:val="20"/>
                <w:u w:val="single"/>
                <w14:ligatures w14:val="none"/>
              </w:rPr>
            </w:pPr>
            <w:r w:rsidRPr="00E3745D">
              <w:rPr>
                <w:rFonts w:ascii="Aptos" w:eastAsia="Calibri" w:hAnsi="Aptos" w:cs="Calibri"/>
                <w:b/>
                <w:bCs/>
                <w:kern w:val="0"/>
                <w:sz w:val="20"/>
                <w:szCs w:val="20"/>
                <w:u w:val="single"/>
                <w14:ligatures w14:val="none"/>
              </w:rPr>
              <w:t>Incident Severity</w:t>
            </w:r>
          </w:p>
        </w:tc>
        <w:tc>
          <w:tcPr>
            <w:tcW w:w="1373" w:type="dxa"/>
          </w:tcPr>
          <w:p w14:paraId="5F91AB77" w14:textId="77777777" w:rsidR="00E3745D" w:rsidRPr="00E3745D" w:rsidRDefault="00E3745D" w:rsidP="00E3745D">
            <w:pPr>
              <w:widowControl w:val="0"/>
              <w:spacing w:before="120" w:after="120" w:line="276" w:lineRule="auto"/>
              <w:jc w:val="center"/>
              <w:rPr>
                <w:rFonts w:ascii="Aptos" w:eastAsia="Calibri" w:hAnsi="Aptos" w:cs="Calibri"/>
                <w:b/>
                <w:bCs/>
                <w:kern w:val="0"/>
                <w:sz w:val="20"/>
                <w:szCs w:val="20"/>
                <w:u w:val="single"/>
                <w14:ligatures w14:val="none"/>
              </w:rPr>
            </w:pPr>
            <w:r w:rsidRPr="00E3745D">
              <w:rPr>
                <w:rFonts w:ascii="Aptos" w:eastAsia="Calibri" w:hAnsi="Aptos" w:cs="Calibri"/>
                <w:b/>
                <w:bCs/>
                <w:kern w:val="0"/>
                <w:sz w:val="20"/>
                <w:szCs w:val="20"/>
                <w:u w:val="single"/>
                <w14:ligatures w14:val="none"/>
              </w:rPr>
              <w:t>Impact</w:t>
            </w:r>
          </w:p>
        </w:tc>
        <w:tc>
          <w:tcPr>
            <w:tcW w:w="2630" w:type="dxa"/>
          </w:tcPr>
          <w:p w14:paraId="726BE6DE" w14:textId="77777777" w:rsidR="00E3745D" w:rsidRPr="00E3745D" w:rsidRDefault="00E3745D" w:rsidP="00E3745D">
            <w:pPr>
              <w:widowControl w:val="0"/>
              <w:spacing w:before="120" w:after="120" w:line="276" w:lineRule="auto"/>
              <w:jc w:val="center"/>
              <w:rPr>
                <w:rFonts w:ascii="Aptos" w:eastAsia="Calibri" w:hAnsi="Aptos" w:cs="Calibri"/>
                <w:b/>
                <w:bCs/>
                <w:kern w:val="0"/>
                <w:sz w:val="20"/>
                <w:szCs w:val="20"/>
                <w:u w:val="single"/>
                <w14:ligatures w14:val="none"/>
              </w:rPr>
            </w:pPr>
            <w:r w:rsidRPr="00E3745D">
              <w:rPr>
                <w:rFonts w:ascii="Aptos" w:eastAsia="Calibri" w:hAnsi="Aptos" w:cs="Calibri"/>
                <w:b/>
                <w:bCs/>
                <w:kern w:val="0"/>
                <w:sz w:val="20"/>
                <w:szCs w:val="20"/>
                <w:u w:val="single"/>
                <w14:ligatures w14:val="none"/>
              </w:rPr>
              <w:t>Explanation</w:t>
            </w:r>
          </w:p>
        </w:tc>
        <w:tc>
          <w:tcPr>
            <w:tcW w:w="1848" w:type="dxa"/>
          </w:tcPr>
          <w:p w14:paraId="3084CF68" w14:textId="77777777" w:rsidR="00E3745D" w:rsidRPr="00E3745D" w:rsidRDefault="00E3745D" w:rsidP="00E3745D">
            <w:pPr>
              <w:widowControl w:val="0"/>
              <w:spacing w:before="120" w:after="120" w:line="276" w:lineRule="auto"/>
              <w:jc w:val="center"/>
              <w:rPr>
                <w:rFonts w:ascii="Aptos" w:eastAsia="Calibri" w:hAnsi="Aptos" w:cs="Calibri"/>
                <w:b/>
                <w:bCs/>
                <w:kern w:val="0"/>
                <w:sz w:val="20"/>
                <w:szCs w:val="20"/>
                <w:u w:val="single"/>
                <w14:ligatures w14:val="none"/>
              </w:rPr>
            </w:pPr>
            <w:r w:rsidRPr="00E3745D">
              <w:rPr>
                <w:rFonts w:ascii="Aptos" w:eastAsia="Calibri" w:hAnsi="Aptos" w:cs="Calibri"/>
                <w:b/>
                <w:bCs/>
                <w:kern w:val="0"/>
                <w:sz w:val="20"/>
                <w:szCs w:val="20"/>
                <w:u w:val="single"/>
                <w14:ligatures w14:val="none"/>
              </w:rPr>
              <w:t>Response Time</w:t>
            </w:r>
          </w:p>
        </w:tc>
        <w:tc>
          <w:tcPr>
            <w:tcW w:w="1680" w:type="dxa"/>
          </w:tcPr>
          <w:p w14:paraId="72158CE3" w14:textId="77777777" w:rsidR="00E3745D" w:rsidRPr="00E3745D" w:rsidRDefault="00E3745D" w:rsidP="00E3745D">
            <w:pPr>
              <w:widowControl w:val="0"/>
              <w:spacing w:before="120" w:after="120" w:line="276" w:lineRule="auto"/>
              <w:jc w:val="center"/>
              <w:rPr>
                <w:rFonts w:ascii="Aptos" w:eastAsia="Calibri" w:hAnsi="Aptos" w:cs="Calibri"/>
                <w:b/>
                <w:bCs/>
                <w:kern w:val="0"/>
                <w:sz w:val="20"/>
                <w:szCs w:val="20"/>
                <w:u w:val="single"/>
                <w14:ligatures w14:val="none"/>
              </w:rPr>
            </w:pPr>
            <w:r w:rsidRPr="00E3745D">
              <w:rPr>
                <w:rFonts w:ascii="Aptos" w:eastAsia="Calibri" w:hAnsi="Aptos" w:cs="Calibri"/>
                <w:b/>
                <w:bCs/>
                <w:kern w:val="0"/>
                <w:sz w:val="20"/>
                <w:szCs w:val="20"/>
                <w:u w:val="single"/>
                <w14:ligatures w14:val="none"/>
              </w:rPr>
              <w:t>Resolution Time</w:t>
            </w:r>
          </w:p>
        </w:tc>
      </w:tr>
      <w:tr w:rsidR="00E3745D" w:rsidRPr="00E3745D" w14:paraId="21A3BD37" w14:textId="77777777" w:rsidTr="00FD526F">
        <w:trPr>
          <w:trHeight w:val="2265"/>
        </w:trPr>
        <w:tc>
          <w:tcPr>
            <w:tcW w:w="1873" w:type="dxa"/>
          </w:tcPr>
          <w:p w14:paraId="65BDAA6B"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Critical/Major</w:t>
            </w:r>
          </w:p>
        </w:tc>
        <w:tc>
          <w:tcPr>
            <w:tcW w:w="1373" w:type="dxa"/>
          </w:tcPr>
          <w:p w14:paraId="383FC5E7"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Critical impact on daily operations</w:t>
            </w:r>
          </w:p>
        </w:tc>
        <w:tc>
          <w:tcPr>
            <w:tcW w:w="2630" w:type="dxa"/>
          </w:tcPr>
          <w:p w14:paraId="01981280"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Production application down or major malfunction resulting in a product inoperative condition. Users unable to reasonably perform their normal functions. The specific functionality is mission critical to the business and the situation is considered an emergency.</w:t>
            </w:r>
          </w:p>
        </w:tc>
        <w:tc>
          <w:tcPr>
            <w:tcW w:w="1848" w:type="dxa"/>
          </w:tcPr>
          <w:p w14:paraId="420A7B56"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30 minutes</w:t>
            </w:r>
          </w:p>
        </w:tc>
        <w:tc>
          <w:tcPr>
            <w:tcW w:w="1680" w:type="dxa"/>
          </w:tcPr>
          <w:p w14:paraId="272A6CFC"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2 hours</w:t>
            </w:r>
          </w:p>
        </w:tc>
      </w:tr>
      <w:tr w:rsidR="00E3745D" w:rsidRPr="00E3745D" w14:paraId="236B58C9" w14:textId="77777777" w:rsidTr="00FD526F">
        <w:trPr>
          <w:trHeight w:val="1006"/>
        </w:trPr>
        <w:tc>
          <w:tcPr>
            <w:tcW w:w="1873" w:type="dxa"/>
          </w:tcPr>
          <w:p w14:paraId="219EAD44"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Medium</w:t>
            </w:r>
          </w:p>
        </w:tc>
        <w:tc>
          <w:tcPr>
            <w:tcW w:w="1373" w:type="dxa"/>
          </w:tcPr>
          <w:p w14:paraId="5F69CBB7"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Daily operations continue with only a small impact</w:t>
            </w:r>
          </w:p>
        </w:tc>
        <w:tc>
          <w:tcPr>
            <w:tcW w:w="2630" w:type="dxa"/>
          </w:tcPr>
          <w:p w14:paraId="78B9064A"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Moderate loss of application functionality or performance resulting in multiple users being impacted in their normal functions. Minor feature/product failure, convenient workaround exists/minor performance degradation/not impacting production.</w:t>
            </w:r>
          </w:p>
        </w:tc>
        <w:tc>
          <w:tcPr>
            <w:tcW w:w="1848" w:type="dxa"/>
          </w:tcPr>
          <w:p w14:paraId="6D334AC7"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2 hours</w:t>
            </w:r>
          </w:p>
        </w:tc>
        <w:tc>
          <w:tcPr>
            <w:tcW w:w="1680" w:type="dxa"/>
          </w:tcPr>
          <w:p w14:paraId="63C8A4E9"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16 hours</w:t>
            </w:r>
          </w:p>
        </w:tc>
      </w:tr>
      <w:tr w:rsidR="00E3745D" w:rsidRPr="00E3745D" w14:paraId="0DF26CFA" w14:textId="77777777" w:rsidTr="00FD526F">
        <w:trPr>
          <w:trHeight w:val="1510"/>
        </w:trPr>
        <w:tc>
          <w:tcPr>
            <w:tcW w:w="1873" w:type="dxa"/>
          </w:tcPr>
          <w:p w14:paraId="6839DE33"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lastRenderedPageBreak/>
              <w:t>Minor</w:t>
            </w:r>
          </w:p>
        </w:tc>
        <w:tc>
          <w:tcPr>
            <w:tcW w:w="1373" w:type="dxa"/>
          </w:tcPr>
          <w:p w14:paraId="0F0E39CD"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No impact on daily operations</w:t>
            </w:r>
          </w:p>
        </w:tc>
        <w:tc>
          <w:tcPr>
            <w:tcW w:w="2630" w:type="dxa"/>
          </w:tcPr>
          <w:p w14:paraId="2FCC16D6"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Minor loss of application functionality, product feature requests, how-to questions. The issue consists of “how-to” questions including issues related to one or multiple modules and integration, installation and configuration inquiries, enhancement requests, or documentation questions.</w:t>
            </w:r>
          </w:p>
        </w:tc>
        <w:tc>
          <w:tcPr>
            <w:tcW w:w="1848" w:type="dxa"/>
          </w:tcPr>
          <w:p w14:paraId="4394CD69"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8 hours</w:t>
            </w:r>
          </w:p>
        </w:tc>
        <w:tc>
          <w:tcPr>
            <w:tcW w:w="1680" w:type="dxa"/>
          </w:tcPr>
          <w:p w14:paraId="3E98FB6D" w14:textId="77777777" w:rsidR="00E3745D" w:rsidRPr="00E3745D" w:rsidRDefault="00E3745D" w:rsidP="00E3745D">
            <w:pPr>
              <w:widowControl w:val="0"/>
              <w:spacing w:before="120" w:after="120" w:line="276" w:lineRule="auto"/>
              <w:jc w:val="center"/>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48 hours</w:t>
            </w:r>
          </w:p>
        </w:tc>
      </w:tr>
    </w:tbl>
    <w:p w14:paraId="284B6746" w14:textId="77777777" w:rsidR="00E3745D" w:rsidRPr="00E3745D" w:rsidRDefault="00E3745D" w:rsidP="00E3745D">
      <w:pPr>
        <w:widowControl w:val="0"/>
        <w:spacing w:before="120" w:after="120" w:line="276" w:lineRule="auto"/>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For the purposes of this SLA:</w:t>
      </w:r>
    </w:p>
    <w:p w14:paraId="6FC5A199" w14:textId="77777777" w:rsidR="00E3745D" w:rsidRPr="00E3745D" w:rsidRDefault="00E3745D" w:rsidP="00E3745D">
      <w:pPr>
        <w:widowControl w:val="0"/>
        <w:numPr>
          <w:ilvl w:val="0"/>
          <w:numId w:val="1"/>
        </w:numPr>
        <w:spacing w:before="120" w:after="120" w:line="276" w:lineRule="auto"/>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w:t>
      </w:r>
      <w:r w:rsidRPr="00E3745D">
        <w:rPr>
          <w:rFonts w:ascii="Aptos" w:eastAsia="Times New Roman" w:hAnsi="Aptos" w:cs="Times New Roman"/>
          <w:b/>
          <w:bCs/>
          <w:kern w:val="0"/>
          <w:sz w:val="20"/>
          <w:szCs w:val="20"/>
          <w14:ligatures w14:val="none"/>
        </w:rPr>
        <w:t>users</w:t>
      </w:r>
      <w:r w:rsidRPr="00E3745D">
        <w:rPr>
          <w:rFonts w:ascii="Aptos" w:eastAsia="Times New Roman" w:hAnsi="Aptos" w:cs="Times New Roman"/>
          <w:kern w:val="0"/>
          <w:sz w:val="20"/>
          <w:szCs w:val="20"/>
          <w14:ligatures w14:val="none"/>
        </w:rPr>
        <w:t>” means the ESM and visitors to the ESM Website.</w:t>
      </w:r>
    </w:p>
    <w:p w14:paraId="0BD55B21" w14:textId="77777777" w:rsidR="00E3745D" w:rsidRPr="00E3745D" w:rsidRDefault="00E3745D" w:rsidP="00E3745D">
      <w:pPr>
        <w:widowControl w:val="0"/>
        <w:numPr>
          <w:ilvl w:val="0"/>
          <w:numId w:val="1"/>
        </w:numPr>
        <w:spacing w:before="120" w:after="120" w:line="276" w:lineRule="auto"/>
        <w:jc w:val="both"/>
        <w:rPr>
          <w:rFonts w:ascii="Aptos" w:eastAsia="Calibri" w:hAnsi="Aptos" w:cs="Times New Roman"/>
          <w:kern w:val="0"/>
          <w:sz w:val="20"/>
          <w:szCs w:val="20"/>
          <w14:ligatures w14:val="none"/>
        </w:rPr>
      </w:pPr>
      <w:r w:rsidRPr="00E3745D">
        <w:rPr>
          <w:rFonts w:ascii="Aptos" w:eastAsia="Calibri" w:hAnsi="Aptos" w:cs="Times New Roman"/>
          <w:kern w:val="0"/>
          <w:sz w:val="20"/>
          <w:szCs w:val="20"/>
          <w14:ligatures w14:val="none"/>
        </w:rPr>
        <w:t>“</w:t>
      </w:r>
      <w:r w:rsidRPr="00E3745D">
        <w:rPr>
          <w:rFonts w:ascii="Aptos" w:eastAsia="Calibri" w:hAnsi="Aptos" w:cs="Times New Roman"/>
          <w:b/>
          <w:bCs/>
          <w:kern w:val="0"/>
          <w:sz w:val="20"/>
          <w:szCs w:val="20"/>
          <w14:ligatures w14:val="none"/>
        </w:rPr>
        <w:t>Response Time</w:t>
      </w:r>
      <w:r w:rsidRPr="00E3745D">
        <w:rPr>
          <w:rFonts w:ascii="Aptos" w:eastAsia="Calibri" w:hAnsi="Aptos" w:cs="Times New Roman"/>
          <w:kern w:val="0"/>
          <w:sz w:val="20"/>
          <w:szCs w:val="20"/>
          <w14:ligatures w14:val="none"/>
        </w:rPr>
        <w:t>” means the period of time between receipt of notice of an incident (either from the ESM or via Service provider monitoring) and issuing a response to the ESM confirming that the issue is under investigation and providing further detail on the planned Resolution Time (if any).</w:t>
      </w:r>
    </w:p>
    <w:p w14:paraId="1315ADE0" w14:textId="77777777" w:rsidR="00E3745D" w:rsidRPr="00E3745D" w:rsidRDefault="00E3745D" w:rsidP="00E3745D">
      <w:pPr>
        <w:widowControl w:val="0"/>
        <w:spacing w:before="120" w:after="120" w:line="276" w:lineRule="auto"/>
        <w:ind w:left="360"/>
        <w:jc w:val="both"/>
        <w:rPr>
          <w:rFonts w:ascii="Aptos" w:eastAsia="Calibri" w:hAnsi="Aptos" w:cs="Times New Roman"/>
          <w:kern w:val="0"/>
          <w:sz w:val="20"/>
          <w:szCs w:val="20"/>
          <w:lang w:val="en-US"/>
          <w14:ligatures w14:val="none"/>
        </w:rPr>
      </w:pPr>
      <w:r w:rsidRPr="00E3745D">
        <w:rPr>
          <w:rFonts w:ascii="Aptos" w:eastAsia="Calibri" w:hAnsi="Aptos" w:cs="Times New Roman"/>
          <w:kern w:val="0"/>
          <w:sz w:val="20"/>
          <w:szCs w:val="20"/>
          <w:lang w:val="en-US"/>
          <w14:ligatures w14:val="none"/>
        </w:rPr>
        <w:t>For incidents classified by the ESM as Medium or Minor, Response Time shall be measured only during the ESM's core working hours as indicated in section 1 herein. Consequently, if the Service provider receives notice of a Moderate incident at 17:30 CET/CEST, the required Response Time lapses at 10 AM the next day.</w:t>
      </w:r>
    </w:p>
    <w:p w14:paraId="41BC1649" w14:textId="77777777" w:rsidR="00E3745D" w:rsidRPr="00E3745D" w:rsidRDefault="00E3745D" w:rsidP="00E3745D">
      <w:pPr>
        <w:numPr>
          <w:ilvl w:val="0"/>
          <w:numId w:val="1"/>
        </w:numPr>
        <w:spacing w:after="0" w:line="300" w:lineRule="atLeast"/>
        <w:contextualSpacing/>
        <w:rPr>
          <w:rFonts w:ascii="Aptos" w:eastAsia="Calibri" w:hAnsi="Aptos" w:cs="Calibri"/>
          <w:kern w:val="0"/>
          <w:sz w:val="20"/>
          <w:szCs w:val="20"/>
          <w14:ligatures w14:val="none"/>
        </w:rPr>
      </w:pPr>
      <w:r w:rsidRPr="00E3745D">
        <w:rPr>
          <w:rFonts w:ascii="Aptos" w:eastAsia="Calibri" w:hAnsi="Aptos" w:cs="Calibri"/>
          <w:kern w:val="0"/>
          <w:sz w:val="20"/>
          <w:szCs w:val="20"/>
          <w14:ligatures w14:val="none"/>
        </w:rPr>
        <w:t>“</w:t>
      </w:r>
      <w:r w:rsidRPr="00E3745D">
        <w:rPr>
          <w:rFonts w:ascii="Aptos" w:eastAsia="Calibri" w:hAnsi="Aptos" w:cs="Times New Roman"/>
          <w:b/>
          <w:bCs/>
          <w:kern w:val="0"/>
          <w:sz w:val="20"/>
          <w:szCs w:val="20"/>
          <w14:ligatures w14:val="none"/>
        </w:rPr>
        <w:t>Resolution</w:t>
      </w:r>
      <w:r w:rsidRPr="00E3745D">
        <w:rPr>
          <w:rFonts w:ascii="Aptos" w:eastAsia="Calibri" w:hAnsi="Aptos" w:cs="Calibri"/>
          <w:b/>
          <w:bCs/>
          <w:kern w:val="0"/>
          <w:sz w:val="20"/>
          <w:szCs w:val="20"/>
          <w14:ligatures w14:val="none"/>
        </w:rPr>
        <w:t xml:space="preserve"> Time</w:t>
      </w:r>
      <w:r w:rsidRPr="00E3745D">
        <w:rPr>
          <w:rFonts w:ascii="Aptos" w:eastAsia="Calibri" w:hAnsi="Aptos" w:cs="Calibri"/>
          <w:kern w:val="0"/>
          <w:sz w:val="20"/>
          <w:szCs w:val="20"/>
          <w14:ligatures w14:val="none"/>
        </w:rPr>
        <w:t xml:space="preserve">” means the period between receipt of notice of an incident (either from the ESM or via Service provider monitoring) and implementing a resolution to the incident. </w:t>
      </w:r>
    </w:p>
    <w:p w14:paraId="67AFB2ED" w14:textId="77777777" w:rsidR="00E3745D" w:rsidRPr="00E3745D" w:rsidRDefault="00E3745D" w:rsidP="00E3745D">
      <w:pPr>
        <w:widowControl w:val="0"/>
        <w:numPr>
          <w:ilvl w:val="0"/>
          <w:numId w:val="2"/>
        </w:numPr>
        <w:spacing w:before="120" w:after="120" w:line="276" w:lineRule="auto"/>
        <w:ind w:left="360"/>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Key Performance Indicators</w:t>
      </w:r>
    </w:p>
    <w:p w14:paraId="5A702814" w14:textId="77777777" w:rsidR="00E3745D" w:rsidRPr="00E3745D" w:rsidRDefault="00E3745D" w:rsidP="00E3745D">
      <w:pPr>
        <w:spacing w:after="0" w:line="300" w:lineRule="atLeast"/>
        <w:jc w:val="both"/>
        <w:rPr>
          <w:rFonts w:ascii="Aptos" w:eastAsia="Times New Roman" w:hAnsi="Aptos" w:cs="Segoe UI"/>
          <w:kern w:val="0"/>
          <w:sz w:val="20"/>
          <w:szCs w:val="20"/>
          <w:lang w:val="en-US"/>
          <w14:ligatures w14:val="none"/>
        </w:rPr>
      </w:pPr>
      <w:r w:rsidRPr="00E3745D">
        <w:rPr>
          <w:rFonts w:ascii="Aptos" w:eastAsia="Times New Roman" w:hAnsi="Aptos" w:cs="Segoe UI"/>
          <w:kern w:val="0"/>
          <w:sz w:val="20"/>
          <w:szCs w:val="20"/>
          <w:lang w:val="en-US"/>
          <w14:ligatures w14:val="none"/>
        </w:rPr>
        <w:t>The Service Provider shall comply with the key performance indicators ("</w:t>
      </w:r>
      <w:r w:rsidRPr="00E3745D">
        <w:rPr>
          <w:rFonts w:ascii="Aptos" w:eastAsia="Times New Roman" w:hAnsi="Aptos" w:cs="Segoe UI"/>
          <w:b/>
          <w:bCs/>
          <w:kern w:val="0"/>
          <w:sz w:val="20"/>
          <w:szCs w:val="20"/>
          <w:lang w:val="en-US"/>
          <w14:ligatures w14:val="none"/>
        </w:rPr>
        <w:t>KPIs</w:t>
      </w:r>
      <w:r w:rsidRPr="00E3745D">
        <w:rPr>
          <w:rFonts w:ascii="Aptos" w:eastAsia="Times New Roman" w:hAnsi="Aptos" w:cs="Segoe UI"/>
          <w:kern w:val="0"/>
          <w:sz w:val="20"/>
          <w:szCs w:val="20"/>
          <w:lang w:val="en-US"/>
          <w14:ligatures w14:val="none"/>
        </w:rPr>
        <w:t>") set out in the table below (the "</w:t>
      </w:r>
      <w:r w:rsidRPr="00E3745D">
        <w:rPr>
          <w:rFonts w:ascii="Aptos" w:eastAsia="Times New Roman" w:hAnsi="Aptos" w:cs="Segoe UI"/>
          <w:b/>
          <w:bCs/>
          <w:kern w:val="0"/>
          <w:sz w:val="20"/>
          <w:szCs w:val="20"/>
          <w:lang w:val="en-US"/>
          <w14:ligatures w14:val="none"/>
        </w:rPr>
        <w:t>KPI Table</w:t>
      </w:r>
      <w:r w:rsidRPr="00E3745D">
        <w:rPr>
          <w:rFonts w:ascii="Aptos" w:eastAsia="Times New Roman" w:hAnsi="Aptos" w:cs="Segoe UI"/>
          <w:kern w:val="0"/>
          <w:sz w:val="20"/>
          <w:szCs w:val="20"/>
          <w:lang w:val="en-US"/>
          <w14:ligatures w14:val="none"/>
        </w:rPr>
        <w:t>"). The Service Provider shall measure and report the applicable service quality metrics, which shall be reviewed by the ESM during the monthly service review meetings. The Service Provider shall promptly notify the ESM of any failure to meet the applicable minimum KPI thresholds and shall include details of the breach, its root cause, and the corrective actions being taken.</w:t>
      </w:r>
    </w:p>
    <w:p w14:paraId="1BBE7C62" w14:textId="77777777" w:rsidR="00E3745D" w:rsidRPr="00E3745D" w:rsidRDefault="00E3745D" w:rsidP="00E3745D">
      <w:pPr>
        <w:widowControl w:val="0"/>
        <w:spacing w:before="120" w:after="120" w:line="276" w:lineRule="auto"/>
        <w:jc w:val="both"/>
        <w:rPr>
          <w:rFonts w:ascii="Aptos" w:eastAsia="Times New Roman" w:hAnsi="Aptos" w:cs="Times New Roman"/>
          <w:kern w:val="0"/>
          <w:sz w:val="20"/>
          <w:szCs w:val="20"/>
          <w:lang w:val="en-US"/>
          <w14:ligatures w14:val="none"/>
        </w:rPr>
      </w:pPr>
      <w:r w:rsidRPr="00E3745D">
        <w:rPr>
          <w:rFonts w:ascii="Aptos" w:eastAsia="Times New Roman" w:hAnsi="Aptos" w:cs="Times New Roman"/>
          <w:kern w:val="0"/>
          <w:sz w:val="20"/>
          <w:szCs w:val="20"/>
          <w:lang w:val="en-US"/>
          <w14:ligatures w14:val="none"/>
        </w:rPr>
        <w:t>The KPIs, including any corresponding Service Credits, shall become effective only upon the ESM's formal acceptance of the Transition Services, as defined in the Terms of Reference set out in Annex 2 (Request for Proposal (RfP)). No KPI measurement or Service Credit shall apply prior to such acceptance.</w:t>
      </w:r>
    </w:p>
    <w:p w14:paraId="75B66B67"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u w:val="single"/>
          <w14:ligatures w14:val="none"/>
        </w:rPr>
      </w:pPr>
    </w:p>
    <w:tbl>
      <w:tblPr>
        <w:tblW w:w="953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412"/>
        <w:gridCol w:w="1674"/>
        <w:gridCol w:w="3166"/>
        <w:gridCol w:w="1262"/>
        <w:gridCol w:w="2025"/>
      </w:tblGrid>
      <w:tr w:rsidR="00E3745D" w:rsidRPr="00E3745D" w14:paraId="053C8135" w14:textId="77777777" w:rsidTr="00FD526F">
        <w:trPr>
          <w:trHeight w:val="825"/>
        </w:trPr>
        <w:tc>
          <w:tcPr>
            <w:tcW w:w="1412" w:type="dxa"/>
            <w:shd w:val="clear" w:color="auto" w:fill="000000" w:themeFill="text1"/>
            <w:vAlign w:val="center"/>
          </w:tcPr>
          <w:p w14:paraId="72434A46"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Key Performance Indicators</w:t>
            </w:r>
          </w:p>
        </w:tc>
        <w:tc>
          <w:tcPr>
            <w:tcW w:w="1675" w:type="dxa"/>
            <w:shd w:val="clear" w:color="auto" w:fill="000000" w:themeFill="text1"/>
            <w:vAlign w:val="center"/>
          </w:tcPr>
          <w:p w14:paraId="1A854303"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Measurement Period</w:t>
            </w:r>
          </w:p>
        </w:tc>
        <w:tc>
          <w:tcPr>
            <w:tcW w:w="3167" w:type="dxa"/>
            <w:shd w:val="clear" w:color="auto" w:fill="000000" w:themeFill="text1"/>
            <w:vAlign w:val="center"/>
          </w:tcPr>
          <w:p w14:paraId="05688D01"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Measure</w:t>
            </w:r>
          </w:p>
        </w:tc>
        <w:tc>
          <w:tcPr>
            <w:tcW w:w="1262" w:type="dxa"/>
            <w:shd w:val="clear" w:color="auto" w:fill="000000" w:themeFill="text1"/>
            <w:vAlign w:val="center"/>
          </w:tcPr>
          <w:p w14:paraId="16F61AB6"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Minimum Threshold</w:t>
            </w:r>
          </w:p>
        </w:tc>
        <w:tc>
          <w:tcPr>
            <w:tcW w:w="2023" w:type="dxa"/>
            <w:shd w:val="clear" w:color="auto" w:fill="000000" w:themeFill="text1"/>
          </w:tcPr>
          <w:p w14:paraId="7A6B6632"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Service Credits in case of failure to meet the Minimum Threshold</w:t>
            </w:r>
          </w:p>
        </w:tc>
      </w:tr>
      <w:tr w:rsidR="00E3745D" w:rsidRPr="00E3745D" w14:paraId="48A18F28" w14:textId="77777777" w:rsidTr="00FD526F">
        <w:trPr>
          <w:trHeight w:val="412"/>
        </w:trPr>
        <w:tc>
          <w:tcPr>
            <w:tcW w:w="7513" w:type="dxa"/>
            <w:gridSpan w:val="4"/>
            <w:shd w:val="clear" w:color="auto" w:fill="E7E6E6"/>
            <w:vAlign w:val="center"/>
          </w:tcPr>
          <w:p w14:paraId="7D35773C"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Availability of Service</w:t>
            </w:r>
          </w:p>
        </w:tc>
        <w:tc>
          <w:tcPr>
            <w:tcW w:w="2026" w:type="dxa"/>
            <w:shd w:val="clear" w:color="auto" w:fill="E7E6E6"/>
          </w:tcPr>
          <w:p w14:paraId="072C46B7"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p>
        </w:tc>
      </w:tr>
      <w:tr w:rsidR="00E3745D" w:rsidRPr="00E3745D" w14:paraId="2B635059" w14:textId="77777777" w:rsidTr="00FD526F">
        <w:trPr>
          <w:trHeight w:val="1577"/>
        </w:trPr>
        <w:tc>
          <w:tcPr>
            <w:tcW w:w="1412" w:type="dxa"/>
            <w:vAlign w:val="center"/>
          </w:tcPr>
          <w:p w14:paraId="78FDBF9A"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lastRenderedPageBreak/>
              <w:t>I - A1</w:t>
            </w:r>
            <w:r w:rsidRPr="00E3745D">
              <w:rPr>
                <w:rFonts w:ascii="Aptos" w:eastAsia="Times New Roman" w:hAnsi="Aptos" w:cs="Times New Roman"/>
                <w:kern w:val="0"/>
                <w:sz w:val="20"/>
                <w:szCs w:val="20"/>
                <w14:ligatures w14:val="none"/>
              </w:rPr>
              <w:br/>
              <w:t>% Availability</w:t>
            </w:r>
          </w:p>
        </w:tc>
        <w:tc>
          <w:tcPr>
            <w:tcW w:w="1675" w:type="dxa"/>
            <w:vAlign w:val="center"/>
          </w:tcPr>
          <w:p w14:paraId="39AC817D"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Monthly</w:t>
            </w:r>
          </w:p>
        </w:tc>
        <w:tc>
          <w:tcPr>
            <w:tcW w:w="3167" w:type="dxa"/>
            <w:vAlign w:val="center"/>
          </w:tcPr>
          <w:p w14:paraId="29F06CB5"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 xml:space="preserve">The ratio of time the ESM Website is capable of being used as intended </w:t>
            </w:r>
          </w:p>
        </w:tc>
        <w:tc>
          <w:tcPr>
            <w:tcW w:w="1262" w:type="dxa"/>
            <w:vAlign w:val="center"/>
          </w:tcPr>
          <w:p w14:paraId="07871C7F"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99.95%</w:t>
            </w:r>
          </w:p>
        </w:tc>
        <w:tc>
          <w:tcPr>
            <w:tcW w:w="2023" w:type="dxa"/>
          </w:tcPr>
          <w:p w14:paraId="655CE536" w14:textId="77777777" w:rsidR="00E3745D" w:rsidRPr="00E3745D" w:rsidRDefault="00E3745D" w:rsidP="00E3745D">
            <w:pPr>
              <w:widowControl w:val="0"/>
              <w:spacing w:before="240" w:after="240" w:line="276" w:lineRule="auto"/>
              <w:jc w:val="center"/>
              <w:rPr>
                <w:rFonts w:ascii="Times New Roman" w:eastAsia="Times New Roman" w:hAnsi="Times New Roman" w:cs="Times New Roman"/>
                <w:color w:val="000000" w:themeColor="text1"/>
                <w:kern w:val="0"/>
                <w:sz w:val="20"/>
                <w:szCs w:val="20"/>
                <w14:ligatures w14:val="none"/>
              </w:rPr>
            </w:pPr>
            <w:r w:rsidRPr="00E3745D">
              <w:rPr>
                <w:rFonts w:ascii="Times New Roman" w:eastAsia="Times New Roman" w:hAnsi="Times New Roman" w:cs="Times New Roman"/>
                <w:color w:val="000000" w:themeColor="text1"/>
                <w:kern w:val="0"/>
                <w:sz w:val="20"/>
                <w:szCs w:val="20"/>
                <w14:ligatures w14:val="none"/>
              </w:rPr>
              <w:t>&lt; 99.95% but ≥ 99.9%  - 5% of the monthly hosting fee</w:t>
            </w:r>
          </w:p>
          <w:p w14:paraId="37D247D9" w14:textId="77777777" w:rsidR="00E3745D" w:rsidRPr="00E3745D" w:rsidRDefault="00E3745D" w:rsidP="00E3745D">
            <w:pPr>
              <w:widowControl w:val="0"/>
              <w:spacing w:before="240" w:after="240" w:line="276" w:lineRule="auto"/>
              <w:jc w:val="center"/>
              <w:rPr>
                <w:rFonts w:ascii="Times New Roman" w:eastAsia="Times New Roman" w:hAnsi="Times New Roman" w:cs="Times New Roman"/>
                <w:color w:val="000000" w:themeColor="text1"/>
                <w:kern w:val="0"/>
                <w:sz w:val="20"/>
                <w:szCs w:val="20"/>
                <w14:ligatures w14:val="none"/>
              </w:rPr>
            </w:pPr>
            <w:r w:rsidRPr="00E3745D">
              <w:rPr>
                <w:rFonts w:ascii="Times New Roman" w:eastAsia="Times New Roman" w:hAnsi="Times New Roman" w:cs="Times New Roman"/>
                <w:color w:val="000000" w:themeColor="text1"/>
                <w:kern w:val="0"/>
                <w:sz w:val="20"/>
                <w:szCs w:val="20"/>
                <w14:ligatures w14:val="none"/>
              </w:rPr>
              <w:t>&lt; 99.9% but ≥ 99.0% - 10% of the monthly hosting fee</w:t>
            </w:r>
          </w:p>
          <w:p w14:paraId="191B13A5" w14:textId="77777777" w:rsidR="00E3745D" w:rsidRPr="00E3745D" w:rsidRDefault="00E3745D" w:rsidP="00E3745D">
            <w:pPr>
              <w:widowControl w:val="0"/>
              <w:spacing w:before="240" w:after="240" w:line="276" w:lineRule="auto"/>
              <w:jc w:val="center"/>
              <w:rPr>
                <w:rFonts w:ascii="Times New Roman" w:eastAsia="Times New Roman" w:hAnsi="Times New Roman" w:cs="Times New Roman"/>
                <w:color w:val="000000" w:themeColor="text1"/>
                <w:kern w:val="0"/>
                <w:sz w:val="20"/>
                <w:szCs w:val="20"/>
                <w14:ligatures w14:val="none"/>
              </w:rPr>
            </w:pPr>
            <w:r w:rsidRPr="00E3745D">
              <w:rPr>
                <w:rFonts w:ascii="Times New Roman" w:eastAsia="Times New Roman" w:hAnsi="Times New Roman" w:cs="Times New Roman"/>
                <w:color w:val="000000" w:themeColor="text1"/>
                <w:kern w:val="0"/>
                <w:sz w:val="20"/>
                <w:szCs w:val="20"/>
                <w14:ligatures w14:val="none"/>
              </w:rPr>
              <w:t>&lt; 99.0% but ≥ 95.0%  - 25% of the monthly hosting fee</w:t>
            </w:r>
          </w:p>
          <w:p w14:paraId="3ECD632E" w14:textId="77777777" w:rsidR="00E3745D" w:rsidRPr="00E3745D" w:rsidRDefault="00E3745D" w:rsidP="00E3745D">
            <w:pPr>
              <w:widowControl w:val="0"/>
              <w:spacing w:before="240" w:after="240" w:line="276" w:lineRule="auto"/>
              <w:jc w:val="center"/>
              <w:rPr>
                <w:rFonts w:ascii="Calibri" w:eastAsia="Calibri" w:hAnsi="Calibri" w:cs="Calibri"/>
                <w:kern w:val="0"/>
                <w:sz w:val="22"/>
                <w:szCs w:val="22"/>
                <w14:ligatures w14:val="none"/>
              </w:rPr>
            </w:pPr>
            <w:r w:rsidRPr="00E3745D">
              <w:rPr>
                <w:rFonts w:ascii="Times New Roman" w:eastAsia="Times New Roman" w:hAnsi="Times New Roman" w:cs="Times New Roman"/>
                <w:color w:val="000000" w:themeColor="text1"/>
                <w:kern w:val="0"/>
                <w:sz w:val="20"/>
                <w:szCs w:val="20"/>
                <w14:ligatures w14:val="none"/>
              </w:rPr>
              <w:t>&lt; 95.0% - 50% of the monthly hosting fee</w:t>
            </w:r>
          </w:p>
          <w:p w14:paraId="6862A510"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p>
        </w:tc>
      </w:tr>
      <w:tr w:rsidR="00E3745D" w:rsidRPr="00E3745D" w14:paraId="0DDD2CA3" w14:textId="77777777" w:rsidTr="00FD526F">
        <w:trPr>
          <w:trHeight w:val="412"/>
        </w:trPr>
        <w:tc>
          <w:tcPr>
            <w:tcW w:w="7513" w:type="dxa"/>
            <w:gridSpan w:val="4"/>
            <w:shd w:val="clear" w:color="auto" w:fill="E7E6E6"/>
            <w:vAlign w:val="center"/>
          </w:tcPr>
          <w:p w14:paraId="1C0E31A3"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Incident management</w:t>
            </w:r>
          </w:p>
        </w:tc>
        <w:tc>
          <w:tcPr>
            <w:tcW w:w="2026" w:type="dxa"/>
            <w:shd w:val="clear" w:color="auto" w:fill="E7E6E6"/>
          </w:tcPr>
          <w:p w14:paraId="679302BE"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p>
        </w:tc>
      </w:tr>
      <w:tr w:rsidR="00E3745D" w:rsidRPr="00E3745D" w14:paraId="379ED569" w14:textId="77777777" w:rsidTr="00FD526F">
        <w:trPr>
          <w:trHeight w:val="1219"/>
        </w:trPr>
        <w:tc>
          <w:tcPr>
            <w:tcW w:w="1412" w:type="dxa"/>
            <w:vAlign w:val="center"/>
          </w:tcPr>
          <w:p w14:paraId="7906151F"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 xml:space="preserve">I - I1 </w:t>
            </w:r>
            <w:r w:rsidRPr="00E3745D">
              <w:rPr>
                <w:rFonts w:ascii="Aptos" w:eastAsia="Times New Roman" w:hAnsi="Aptos" w:cs="Times New Roman"/>
                <w:kern w:val="0"/>
                <w:sz w:val="20"/>
                <w:szCs w:val="20"/>
                <w14:ligatures w14:val="none"/>
              </w:rPr>
              <w:br/>
              <w:t>Response Time</w:t>
            </w:r>
          </w:p>
        </w:tc>
        <w:tc>
          <w:tcPr>
            <w:tcW w:w="1675" w:type="dxa"/>
            <w:vAlign w:val="center"/>
          </w:tcPr>
          <w:p w14:paraId="79653108"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Monthly</w:t>
            </w:r>
          </w:p>
        </w:tc>
        <w:tc>
          <w:tcPr>
            <w:tcW w:w="3167" w:type="dxa"/>
            <w:vAlign w:val="center"/>
          </w:tcPr>
          <w:p w14:paraId="3A16F9F7"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Number of incidents responded to on time/total number of incidents reported in the given calendar month</w:t>
            </w:r>
          </w:p>
        </w:tc>
        <w:tc>
          <w:tcPr>
            <w:tcW w:w="1262" w:type="dxa"/>
            <w:vAlign w:val="center"/>
          </w:tcPr>
          <w:p w14:paraId="1E804E87"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95%</w:t>
            </w:r>
          </w:p>
        </w:tc>
        <w:tc>
          <w:tcPr>
            <w:tcW w:w="2023" w:type="dxa"/>
          </w:tcPr>
          <w:p w14:paraId="3B5143B2" w14:textId="77777777" w:rsidR="00E3745D" w:rsidRPr="00E3745D" w:rsidRDefault="00E3745D" w:rsidP="00E3745D">
            <w:pPr>
              <w:widowControl w:val="0"/>
              <w:spacing w:before="120" w:after="120" w:line="276" w:lineRule="auto"/>
              <w:jc w:val="center"/>
              <w:rPr>
                <w:rFonts w:ascii="Times New Roman" w:eastAsia="Times New Roman" w:hAnsi="Times New Roman" w:cs="Times New Roman"/>
                <w:color w:val="000000" w:themeColor="text1"/>
                <w:kern w:val="0"/>
                <w:sz w:val="20"/>
                <w:szCs w:val="20"/>
                <w14:ligatures w14:val="none"/>
              </w:rPr>
            </w:pPr>
            <w:r w:rsidRPr="00E3745D">
              <w:rPr>
                <w:rFonts w:ascii="Times New Roman" w:eastAsia="Times New Roman" w:hAnsi="Times New Roman" w:cs="Times New Roman"/>
                <w:color w:val="000000" w:themeColor="text1"/>
                <w:kern w:val="0"/>
                <w:sz w:val="20"/>
                <w:szCs w:val="20"/>
                <w14:ligatures w14:val="none"/>
              </w:rPr>
              <w:t>0.25% of the monthly support services fee for every percentage point below the 95% threshold</w:t>
            </w:r>
          </w:p>
        </w:tc>
      </w:tr>
      <w:tr w:rsidR="00E3745D" w:rsidRPr="00E3745D" w14:paraId="2193692A" w14:textId="77777777" w:rsidTr="00FD526F">
        <w:trPr>
          <w:trHeight w:val="1768"/>
        </w:trPr>
        <w:tc>
          <w:tcPr>
            <w:tcW w:w="1412" w:type="dxa"/>
            <w:vAlign w:val="center"/>
          </w:tcPr>
          <w:p w14:paraId="636DFD80"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I - I2</w:t>
            </w:r>
            <w:r w:rsidRPr="00E3745D">
              <w:rPr>
                <w:rFonts w:ascii="Aptos" w:eastAsia="Times New Roman" w:hAnsi="Aptos" w:cs="Times New Roman"/>
                <w:kern w:val="0"/>
                <w:sz w:val="20"/>
                <w:szCs w:val="20"/>
                <w14:ligatures w14:val="none"/>
              </w:rPr>
              <w:br/>
              <w:t>Resolution Time</w:t>
            </w:r>
          </w:p>
        </w:tc>
        <w:tc>
          <w:tcPr>
            <w:tcW w:w="1675" w:type="dxa"/>
            <w:vAlign w:val="center"/>
          </w:tcPr>
          <w:p w14:paraId="0DA307F9"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Monthly</w:t>
            </w:r>
          </w:p>
        </w:tc>
        <w:tc>
          <w:tcPr>
            <w:tcW w:w="3167" w:type="dxa"/>
            <w:vAlign w:val="center"/>
          </w:tcPr>
          <w:p w14:paraId="42758139"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Number of incidents resolved time/total number of incidents reported in the given calendar month</w:t>
            </w:r>
          </w:p>
        </w:tc>
        <w:tc>
          <w:tcPr>
            <w:tcW w:w="1262" w:type="dxa"/>
            <w:vAlign w:val="center"/>
          </w:tcPr>
          <w:p w14:paraId="30EB302A"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95%</w:t>
            </w:r>
          </w:p>
        </w:tc>
        <w:tc>
          <w:tcPr>
            <w:tcW w:w="2023" w:type="dxa"/>
          </w:tcPr>
          <w:p w14:paraId="49A38789" w14:textId="77777777" w:rsidR="00E3745D" w:rsidRPr="00E3745D" w:rsidRDefault="00E3745D" w:rsidP="00E3745D">
            <w:pPr>
              <w:widowControl w:val="0"/>
              <w:spacing w:before="120" w:after="120" w:line="276" w:lineRule="auto"/>
              <w:jc w:val="center"/>
              <w:rPr>
                <w:rFonts w:ascii="Times New Roman" w:eastAsia="Times New Roman" w:hAnsi="Times New Roman" w:cs="Times New Roman"/>
                <w:color w:val="000000" w:themeColor="text1"/>
                <w:kern w:val="0"/>
                <w:sz w:val="20"/>
                <w:szCs w:val="20"/>
                <w14:ligatures w14:val="none"/>
              </w:rPr>
            </w:pPr>
            <w:r w:rsidRPr="00E3745D">
              <w:rPr>
                <w:rFonts w:ascii="Times New Roman" w:eastAsia="Times New Roman" w:hAnsi="Times New Roman" w:cs="Times New Roman"/>
                <w:color w:val="000000" w:themeColor="text1"/>
                <w:kern w:val="0"/>
                <w:sz w:val="20"/>
                <w:szCs w:val="20"/>
                <w14:ligatures w14:val="none"/>
              </w:rPr>
              <w:t>0.25% of the monthly support services fee for every percentage point below the 95% threshold</w:t>
            </w:r>
          </w:p>
        </w:tc>
      </w:tr>
      <w:tr w:rsidR="00E3745D" w:rsidRPr="00E3745D" w14:paraId="67C5D151" w14:textId="77777777" w:rsidTr="00FD526F">
        <w:trPr>
          <w:trHeight w:val="412"/>
        </w:trPr>
        <w:tc>
          <w:tcPr>
            <w:tcW w:w="7513" w:type="dxa"/>
            <w:gridSpan w:val="4"/>
            <w:shd w:val="clear" w:color="auto" w:fill="E7E6E6"/>
            <w:vAlign w:val="center"/>
          </w:tcPr>
          <w:p w14:paraId="2F36344B"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r w:rsidRPr="00E3745D">
              <w:rPr>
                <w:rFonts w:ascii="Aptos" w:eastAsia="Times New Roman" w:hAnsi="Aptos" w:cs="Times New Roman"/>
                <w:b/>
                <w:bCs/>
                <w:kern w:val="0"/>
                <w:sz w:val="20"/>
                <w:szCs w:val="20"/>
                <w:u w:val="single"/>
                <w14:ligatures w14:val="none"/>
              </w:rPr>
              <w:t>Change management</w:t>
            </w:r>
          </w:p>
        </w:tc>
        <w:tc>
          <w:tcPr>
            <w:tcW w:w="2026" w:type="dxa"/>
            <w:shd w:val="clear" w:color="auto" w:fill="E7E6E6"/>
          </w:tcPr>
          <w:p w14:paraId="4D80F863" w14:textId="77777777" w:rsidR="00E3745D" w:rsidRPr="00E3745D" w:rsidRDefault="00E3745D" w:rsidP="00E3745D">
            <w:pPr>
              <w:widowControl w:val="0"/>
              <w:spacing w:before="120" w:after="120" w:line="276" w:lineRule="auto"/>
              <w:jc w:val="center"/>
              <w:rPr>
                <w:rFonts w:ascii="Aptos" w:eastAsia="Times New Roman" w:hAnsi="Aptos" w:cs="Times New Roman"/>
                <w:b/>
                <w:bCs/>
                <w:kern w:val="0"/>
                <w:sz w:val="20"/>
                <w:szCs w:val="20"/>
                <w:u w:val="single"/>
                <w14:ligatures w14:val="none"/>
              </w:rPr>
            </w:pPr>
          </w:p>
        </w:tc>
      </w:tr>
      <w:tr w:rsidR="00E3745D" w:rsidRPr="00E3745D" w14:paraId="05CC3EFC" w14:textId="77777777" w:rsidTr="00FD526F">
        <w:trPr>
          <w:trHeight w:val="1509"/>
        </w:trPr>
        <w:tc>
          <w:tcPr>
            <w:tcW w:w="1412" w:type="dxa"/>
            <w:vAlign w:val="center"/>
          </w:tcPr>
          <w:p w14:paraId="2AFC0B16"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I - C1</w:t>
            </w:r>
            <w:r w:rsidRPr="00E3745D">
              <w:rPr>
                <w:rFonts w:ascii="Aptos" w:eastAsia="Times New Roman" w:hAnsi="Aptos" w:cs="Times New Roman"/>
                <w:kern w:val="0"/>
                <w:sz w:val="20"/>
                <w:szCs w:val="20"/>
                <w14:ligatures w14:val="none"/>
              </w:rPr>
              <w:br/>
              <w:t>Number of Changes completed successfully</w:t>
            </w:r>
          </w:p>
        </w:tc>
        <w:tc>
          <w:tcPr>
            <w:tcW w:w="1675" w:type="dxa"/>
            <w:vAlign w:val="center"/>
          </w:tcPr>
          <w:p w14:paraId="22420BBB"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Monthly</w:t>
            </w:r>
          </w:p>
        </w:tc>
        <w:tc>
          <w:tcPr>
            <w:tcW w:w="3167" w:type="dxa"/>
            <w:vAlign w:val="center"/>
          </w:tcPr>
          <w:p w14:paraId="5AC8DC60"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Number of Changes implemented without unintended consequences (e.g. defects/bugs)/total number of Changes implemented in the given calendar month</w:t>
            </w:r>
          </w:p>
        </w:tc>
        <w:tc>
          <w:tcPr>
            <w:tcW w:w="1262" w:type="dxa"/>
            <w:vAlign w:val="center"/>
          </w:tcPr>
          <w:p w14:paraId="66BB27BD" w14:textId="77777777" w:rsidR="00E3745D" w:rsidRPr="00E3745D" w:rsidRDefault="00E3745D" w:rsidP="00E3745D">
            <w:pPr>
              <w:widowControl w:val="0"/>
              <w:spacing w:before="120" w:after="120" w:line="276" w:lineRule="auto"/>
              <w:jc w:val="center"/>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98%</w:t>
            </w:r>
          </w:p>
        </w:tc>
        <w:tc>
          <w:tcPr>
            <w:tcW w:w="2023" w:type="dxa"/>
          </w:tcPr>
          <w:p w14:paraId="34F067D6" w14:textId="77777777" w:rsidR="00E3745D" w:rsidRPr="00E3745D" w:rsidRDefault="00E3745D" w:rsidP="00E3745D">
            <w:pPr>
              <w:widowControl w:val="0"/>
              <w:spacing w:before="120" w:after="120" w:line="276" w:lineRule="auto"/>
              <w:jc w:val="center"/>
              <w:rPr>
                <w:rFonts w:ascii="Aptos" w:eastAsia="Aptos" w:hAnsi="Aptos" w:cs="Aptos"/>
                <w:kern w:val="0"/>
                <w:sz w:val="20"/>
                <w:szCs w:val="20"/>
                <w14:ligatures w14:val="none"/>
              </w:rPr>
            </w:pPr>
            <w:r w:rsidRPr="00E3745D">
              <w:rPr>
                <w:rFonts w:ascii="Times New Roman" w:eastAsia="Times New Roman" w:hAnsi="Times New Roman" w:cs="Times New Roman"/>
                <w:color w:val="000000" w:themeColor="text1"/>
                <w:kern w:val="0"/>
                <w:sz w:val="20"/>
                <w:szCs w:val="20"/>
                <w14:ligatures w14:val="none"/>
              </w:rPr>
              <w:t>5% of the monthly development services fees due for the given month</w:t>
            </w:r>
          </w:p>
        </w:tc>
      </w:tr>
    </w:tbl>
    <w:p w14:paraId="0798EC8B" w14:textId="77777777" w:rsidR="00E3745D" w:rsidRPr="00E3745D" w:rsidRDefault="00E3745D" w:rsidP="00E3745D">
      <w:pPr>
        <w:spacing w:after="0" w:line="240" w:lineRule="auto"/>
        <w:rPr>
          <w:rFonts w:ascii="Calibri" w:eastAsia="Calibri" w:hAnsi="Calibri" w:cs="Calibri"/>
          <w:kern w:val="0"/>
          <w:sz w:val="22"/>
          <w:szCs w:val="22"/>
          <w14:ligatures w14:val="none"/>
        </w:rPr>
      </w:pPr>
    </w:p>
    <w:p w14:paraId="10B73D4E" w14:textId="77777777" w:rsidR="00E3745D" w:rsidRPr="00E3745D" w:rsidRDefault="00E3745D" w:rsidP="00E3745D">
      <w:pPr>
        <w:widowControl w:val="0"/>
        <w:spacing w:before="120" w:after="120" w:line="276" w:lineRule="auto"/>
        <w:jc w:val="both"/>
        <w:rPr>
          <w:rFonts w:ascii="Aptos" w:eastAsia="Times New Roman" w:hAnsi="Aptos" w:cs="Times New Roman"/>
          <w:kern w:val="0"/>
          <w:sz w:val="20"/>
          <w:szCs w:val="20"/>
          <w14:ligatures w14:val="none"/>
        </w:rPr>
      </w:pPr>
      <w:r w:rsidRPr="00E3745D">
        <w:rPr>
          <w:rFonts w:ascii="Aptos" w:eastAsia="Times New Roman" w:hAnsi="Aptos" w:cs="Times New Roman"/>
          <w:kern w:val="0"/>
          <w:sz w:val="20"/>
          <w:szCs w:val="20"/>
          <w14:ligatures w14:val="none"/>
        </w:rPr>
        <w:t>The Service provider and the ESM will conduct a review of the KPIs and associated Minimum Thresholds within the first six (6) months of the Contract. Any amendment to the KPIs and/or associated Minimum Thresholds must be in writing and agreed by the authorized representatives of the Parties. For the avoidance of doubt, the ESM will not be under any obligation to agree to any changes to the KPls or associated Thresholds.</w:t>
      </w:r>
    </w:p>
    <w:p w14:paraId="60B7A4A3" w14:textId="77777777" w:rsidR="00E3745D" w:rsidRPr="00E3745D" w:rsidRDefault="00E3745D" w:rsidP="00E3745D">
      <w:pPr>
        <w:widowControl w:val="0"/>
        <w:numPr>
          <w:ilvl w:val="0"/>
          <w:numId w:val="2"/>
        </w:numPr>
        <w:spacing w:before="120" w:after="120" w:line="276" w:lineRule="auto"/>
        <w:ind w:left="360"/>
        <w:rPr>
          <w:rFonts w:ascii="Aptos" w:eastAsia="Calibri" w:hAnsi="Aptos" w:cs="Times New Roman"/>
          <w:b/>
          <w:bCs/>
          <w:kern w:val="0"/>
          <w:sz w:val="20"/>
          <w:szCs w:val="20"/>
          <w:u w:val="single"/>
          <w14:ligatures w14:val="none"/>
        </w:rPr>
      </w:pPr>
      <w:r w:rsidRPr="00E3745D">
        <w:rPr>
          <w:rFonts w:ascii="Aptos" w:eastAsia="Calibri" w:hAnsi="Aptos" w:cs="Times New Roman"/>
          <w:b/>
          <w:bCs/>
          <w:kern w:val="0"/>
          <w:sz w:val="20"/>
          <w:szCs w:val="20"/>
          <w:u w:val="single"/>
          <w14:ligatures w14:val="none"/>
        </w:rPr>
        <w:t>Service Credits</w:t>
      </w:r>
      <w:r w:rsidRPr="00E3745D">
        <w:rPr>
          <w:rFonts w:ascii="Aptos" w:eastAsia="Times New Roman" w:hAnsi="Aptos" w:cs="Times New Roman"/>
          <w:b/>
          <w:bCs/>
          <w:kern w:val="0"/>
          <w:sz w:val="20"/>
          <w:szCs w:val="20"/>
          <w:u w:val="single"/>
          <w14:ligatures w14:val="none"/>
        </w:rPr>
        <w:t xml:space="preserve"> &amp; Chronic Failure</w:t>
      </w:r>
    </w:p>
    <w:p w14:paraId="0033F01D" w14:textId="77777777" w:rsidR="00E3745D" w:rsidRPr="00E3745D" w:rsidRDefault="00E3745D" w:rsidP="00E3745D">
      <w:pPr>
        <w:spacing w:before="120" w:after="120" w:line="276" w:lineRule="auto"/>
        <w:jc w:val="both"/>
        <w:rPr>
          <w:rFonts w:ascii="Aptos" w:eastAsia="Times New Roman" w:hAnsi="Aptos" w:cs="Segoe UI"/>
          <w:kern w:val="0"/>
          <w:sz w:val="20"/>
          <w:szCs w:val="20"/>
          <w:lang w:val="en-US"/>
          <w14:ligatures w14:val="none"/>
        </w:rPr>
      </w:pPr>
      <w:r w:rsidRPr="00E3745D">
        <w:rPr>
          <w:rFonts w:ascii="Aptos" w:eastAsia="Times New Roman" w:hAnsi="Aptos" w:cs="Segoe UI"/>
          <w:kern w:val="0"/>
          <w:sz w:val="20"/>
          <w:szCs w:val="20"/>
          <w:lang w:val="en-US"/>
          <w14:ligatures w14:val="none"/>
        </w:rPr>
        <w:t>If the Service provider fails to achieve any Minimum Threshold set out in the KPI Table for a Measurement Period, the ESM may, at its sole discretion, apply the corresponding Service Credit specified in the KPI Table.</w:t>
      </w:r>
    </w:p>
    <w:p w14:paraId="638F356A" w14:textId="77777777" w:rsidR="00E3745D" w:rsidRPr="00E3745D" w:rsidRDefault="00E3745D" w:rsidP="00E3745D">
      <w:pPr>
        <w:spacing w:before="120" w:after="120" w:line="276" w:lineRule="auto"/>
        <w:jc w:val="both"/>
        <w:rPr>
          <w:rFonts w:ascii="Aptos" w:eastAsia="Times New Roman" w:hAnsi="Aptos" w:cs="Segoe UI"/>
          <w:kern w:val="0"/>
          <w:sz w:val="20"/>
          <w:szCs w:val="20"/>
          <w:lang w:val="en-US"/>
          <w14:ligatures w14:val="none"/>
        </w:rPr>
      </w:pPr>
      <w:r w:rsidRPr="00E3745D">
        <w:rPr>
          <w:rFonts w:ascii="Aptos" w:eastAsia="Times New Roman" w:hAnsi="Aptos" w:cs="Segoe UI"/>
          <w:kern w:val="0"/>
          <w:sz w:val="20"/>
          <w:szCs w:val="20"/>
          <w:lang w:val="en-US"/>
          <w14:ligatures w14:val="none"/>
        </w:rPr>
        <w:lastRenderedPageBreak/>
        <w:t>Service Credits shall be assessed and applied separately for each KPI category and shall be cumulative. A failure to meet multiple Minimum Thresholds in a Measurement Period may therefore result in the application of multiple Service Credits.</w:t>
      </w:r>
    </w:p>
    <w:p w14:paraId="08011C26" w14:textId="77777777" w:rsidR="00E3745D" w:rsidRPr="00E3745D" w:rsidRDefault="00E3745D" w:rsidP="00E3745D">
      <w:pPr>
        <w:spacing w:before="120" w:after="120" w:line="276" w:lineRule="auto"/>
        <w:jc w:val="both"/>
        <w:rPr>
          <w:rFonts w:ascii="Aptos" w:eastAsia="Times New Roman" w:hAnsi="Aptos" w:cs="Segoe UI"/>
          <w:kern w:val="0"/>
          <w:sz w:val="20"/>
          <w:szCs w:val="20"/>
          <w:lang w:val="en-US"/>
          <w14:ligatures w14:val="none"/>
        </w:rPr>
      </w:pPr>
      <w:r w:rsidRPr="00E3745D">
        <w:rPr>
          <w:rFonts w:ascii="Aptos" w:eastAsia="Times New Roman" w:hAnsi="Aptos" w:cs="Segoe UI"/>
          <w:kern w:val="0"/>
          <w:sz w:val="20"/>
          <w:szCs w:val="20"/>
          <w:lang w:val="en-US"/>
          <w14:ligatures w14:val="none"/>
        </w:rPr>
        <w:t>Following its determination to apply a Service Credit, the ESM shall notify the Service Provider in writing (e-mail being sufficient) of the relevant KPI failure(s) and the corresponding Service Credit(s). Upon receipt of such notice, the Service Provider shall promptly issue an appropriate credit note. The ESM shall be entitled to set off the amount of the Service Credits against any amounts payable to the Service Provider under the Framework Agreement.</w:t>
      </w:r>
    </w:p>
    <w:p w14:paraId="2DA18A3D" w14:textId="77777777" w:rsidR="00E3745D" w:rsidRPr="00E3745D" w:rsidRDefault="00E3745D" w:rsidP="00E3745D">
      <w:pPr>
        <w:spacing w:before="120" w:after="120" w:line="276" w:lineRule="auto"/>
        <w:jc w:val="both"/>
        <w:rPr>
          <w:rFonts w:ascii="Aptos" w:eastAsia="Times New Roman" w:hAnsi="Aptos" w:cs="Segoe UI"/>
          <w:kern w:val="0"/>
          <w:sz w:val="20"/>
          <w:szCs w:val="20"/>
          <w:lang w:val="en-US"/>
          <w14:ligatures w14:val="none"/>
        </w:rPr>
      </w:pPr>
      <w:r w:rsidRPr="00E3745D">
        <w:rPr>
          <w:rFonts w:ascii="Aptos" w:eastAsia="Times New Roman" w:hAnsi="Aptos" w:cs="Segoe UI"/>
          <w:kern w:val="0"/>
          <w:sz w:val="20"/>
          <w:szCs w:val="20"/>
          <w:lang w:val="en-US"/>
          <w14:ligatures w14:val="none"/>
        </w:rPr>
        <w:t>Service Credits are without prejudice to the ESM's rights and remedies under this Framework Agreement or at law. The application or non-application of any Service Credit shall not limit, exclude, or otherwise affect the ESM's right to claim damages, exercise termination rights, seek specific performance, or pursue any other remedy available to it.</w:t>
      </w:r>
    </w:p>
    <w:p w14:paraId="294114FD" w14:textId="77777777" w:rsidR="00E3745D" w:rsidRPr="00E3745D" w:rsidRDefault="00E3745D" w:rsidP="00E3745D">
      <w:pPr>
        <w:spacing w:before="120" w:after="120" w:line="276" w:lineRule="auto"/>
        <w:jc w:val="both"/>
        <w:rPr>
          <w:rFonts w:ascii="Aptos" w:eastAsia="Times New Roman" w:hAnsi="Aptos" w:cs="Segoe UI"/>
          <w:kern w:val="0"/>
          <w:sz w:val="20"/>
          <w:szCs w:val="20"/>
          <w:lang w:val="en-US"/>
          <w14:ligatures w14:val="none"/>
        </w:rPr>
      </w:pPr>
      <w:r w:rsidRPr="00E3745D">
        <w:rPr>
          <w:rFonts w:ascii="Aptos" w:eastAsia="Times New Roman" w:hAnsi="Aptos" w:cs="Segoe UI"/>
          <w:kern w:val="0"/>
          <w:sz w:val="20"/>
          <w:szCs w:val="20"/>
          <w:lang w:val="en-US"/>
          <w14:ligatures w14:val="none"/>
        </w:rPr>
        <w:t>The ESM's decision not to apply a Service Credit in any instance shall not constitute a waiver of its right to apply Service Credits in respect of any subsequent KPI failure.</w:t>
      </w:r>
    </w:p>
    <w:p w14:paraId="40CEE4AF" w14:textId="77777777" w:rsidR="00E3745D" w:rsidRPr="00E3745D" w:rsidRDefault="00E3745D" w:rsidP="00E3745D">
      <w:pPr>
        <w:spacing w:before="120" w:after="120" w:line="276" w:lineRule="auto"/>
        <w:jc w:val="both"/>
        <w:rPr>
          <w:rFonts w:ascii="Aptos" w:eastAsia="Times New Roman" w:hAnsi="Aptos" w:cs="Segoe UI"/>
          <w:kern w:val="0"/>
          <w:sz w:val="20"/>
          <w:szCs w:val="20"/>
          <w:lang w:val="en-US"/>
          <w14:ligatures w14:val="none"/>
        </w:rPr>
      </w:pPr>
      <w:r w:rsidRPr="00E3745D">
        <w:rPr>
          <w:rFonts w:ascii="Aptos" w:eastAsia="Times New Roman" w:hAnsi="Aptos" w:cs="Segoe UI"/>
          <w:kern w:val="0"/>
          <w:sz w:val="20"/>
          <w:szCs w:val="20"/>
          <w:lang w:val="en-US"/>
          <w14:ligatures w14:val="none"/>
        </w:rPr>
        <w:t>Without prejudice to any other rights or remedies available to the ESM under this Framework Agreement or at law, if the Service Provider fails to meet any of the KPIs set out above for two (2) consecutive Measurement Periods, or for any three (3) Measurement Periods within any rolling twelve (12)-month period, such failure shall constitute a material breach of the Service Provider's obligations under this Framework Agreement. In such event, the ESM shall be entitled to terminate this Framework Agreement, in whole or in part, with immediate effect, by written notice to the Service Provider and without any notice period, liability, penalty, or obligation to pay any termination fees. This right shall be in addition to, and shall not limit, any other rights or remedies available to the ESM.</w:t>
      </w:r>
    </w:p>
    <w:p w14:paraId="5C27DEF2" w14:textId="77777777" w:rsidR="00E3745D" w:rsidRPr="00E3745D" w:rsidRDefault="00E3745D" w:rsidP="00E3745D">
      <w:pPr>
        <w:spacing w:after="0" w:line="240" w:lineRule="auto"/>
        <w:rPr>
          <w:rFonts w:ascii="Calibri" w:eastAsia="Calibri" w:hAnsi="Calibri" w:cs="Calibri"/>
          <w:kern w:val="0"/>
          <w:sz w:val="22"/>
          <w:szCs w:val="22"/>
          <w14:ligatures w14:val="none"/>
        </w:rPr>
      </w:pPr>
    </w:p>
    <w:p w14:paraId="640C6D78" w14:textId="77777777" w:rsidR="00D85848" w:rsidRDefault="00D85848"/>
    <w:sectPr w:rsidR="00D85848" w:rsidSect="00E3745D">
      <w:headerReference w:type="even" r:id="rId7"/>
      <w:headerReference w:type="default" r:id="rId8"/>
      <w:footerReference w:type="even" r:id="rId9"/>
      <w:footerReference w:type="default" r:id="rId10"/>
      <w:headerReference w:type="first" r:id="rId11"/>
      <w:footerReference w:type="first" r:id="rId12"/>
      <w:pgSz w:w="11906" w:h="16838"/>
      <w:pgMar w:top="1440" w:right="1106"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FCDD3" w14:textId="77777777" w:rsidR="00A120D1" w:rsidRDefault="00A120D1" w:rsidP="00E3745D">
      <w:pPr>
        <w:spacing w:after="0" w:line="240" w:lineRule="auto"/>
      </w:pPr>
      <w:r>
        <w:separator/>
      </w:r>
    </w:p>
  </w:endnote>
  <w:endnote w:type="continuationSeparator" w:id="0">
    <w:p w14:paraId="37E12686" w14:textId="77777777" w:rsidR="00A120D1" w:rsidRDefault="00A120D1" w:rsidP="00E37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8D19C" w14:textId="77777777" w:rsidR="00A120D1" w:rsidRDefault="00A120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57CC" w14:textId="77777777" w:rsidR="00A120D1" w:rsidRDefault="00A120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CE9C" w14:textId="77777777" w:rsidR="00A120D1" w:rsidRDefault="00A120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25A03" w14:textId="77777777" w:rsidR="00A120D1" w:rsidRDefault="00A120D1" w:rsidP="00E3745D">
      <w:pPr>
        <w:spacing w:after="0" w:line="240" w:lineRule="auto"/>
      </w:pPr>
      <w:r>
        <w:separator/>
      </w:r>
    </w:p>
  </w:footnote>
  <w:footnote w:type="continuationSeparator" w:id="0">
    <w:p w14:paraId="631F64BC" w14:textId="77777777" w:rsidR="00A120D1" w:rsidRDefault="00A120D1" w:rsidP="00E37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ACD5C" w14:textId="70E45536" w:rsidR="00A120D1" w:rsidRDefault="00E3745D">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0" distR="0" simplePos="0" relativeHeight="251663360" behindDoc="0" locked="0" layoutInCell="1" allowOverlap="1" wp14:anchorId="02A5E27F" wp14:editId="09CED2C3">
              <wp:simplePos x="635" y="635"/>
              <wp:positionH relativeFrom="page">
                <wp:align>right</wp:align>
              </wp:positionH>
              <wp:positionV relativeFrom="page">
                <wp:align>top</wp:align>
              </wp:positionV>
              <wp:extent cx="917575" cy="370205"/>
              <wp:effectExtent l="0" t="0" r="0" b="10795"/>
              <wp:wrapNone/>
              <wp:docPr id="1908957991" name="Text Box 2" descr="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7575" cy="370205"/>
                      </a:xfrm>
                      <a:prstGeom prst="rect">
                        <a:avLst/>
                      </a:prstGeom>
                      <a:noFill/>
                      <a:ln>
                        <a:noFill/>
                      </a:ln>
                    </wps:spPr>
                    <wps:txbx>
                      <w:txbxContent>
                        <w:p w14:paraId="53919036" w14:textId="12564C2D" w:rsidR="00E3745D" w:rsidRPr="00E3745D" w:rsidRDefault="00E3745D" w:rsidP="00E3745D">
                          <w:pPr>
                            <w:spacing w:after="0"/>
                            <w:rPr>
                              <w:rFonts w:ascii="Aptos" w:eastAsia="Aptos" w:hAnsi="Aptos" w:cs="Aptos"/>
                              <w:noProof/>
                              <w:color w:val="000000"/>
                              <w:sz w:val="20"/>
                              <w:szCs w:val="20"/>
                            </w:rPr>
                          </w:pPr>
                          <w:r w:rsidRPr="00E3745D">
                            <w:rPr>
                              <w:rFonts w:ascii="Aptos" w:eastAsia="Aptos" w:hAnsi="Aptos" w:cs="Aptos"/>
                              <w:noProof/>
                              <w:color w:val="000000"/>
                              <w:sz w:val="20"/>
                              <w:szCs w:val="20"/>
                            </w:rPr>
                            <w:t>Internal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2A5E27F" id="_x0000_t202" coordsize="21600,21600" o:spt="202" path="m,l,21600r21600,l21600,xe">
              <v:stroke joinstyle="miter"/>
              <v:path gradientshapeok="t" o:connecttype="rect"/>
            </v:shapetype>
            <v:shape id="Text Box 2" o:spid="_x0000_s1026" type="#_x0000_t202" alt="Internal Use" style="position:absolute;margin-left:21.05pt;margin-top:0;width:72.25pt;height:29.15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" filled="f" stroked="f">
              <v:fill o:detectmouseclick="t"/>
              <v:textbox style="mso-fit-shape-to-text:t" inset="0,15pt,20pt,0">
                <w:txbxContent>
                  <w:p w14:paraId="53919036" w14:textId="12564C2D" w:rsidR="00E3745D" w:rsidRPr="00E3745D" w:rsidRDefault="00E3745D" w:rsidP="00E3745D">
                    <w:pPr>
                      <w:spacing w:after="0"/>
                      <w:rPr>
                        <w:rFonts w:ascii="Aptos" w:eastAsia="Aptos" w:hAnsi="Aptos" w:cs="Aptos"/>
                        <w:noProof/>
                        <w:color w:val="000000"/>
                        <w:sz w:val="20"/>
                        <w:szCs w:val="20"/>
                      </w:rPr>
                    </w:pPr>
                    <w:r w:rsidRPr="00E3745D">
                      <w:rPr>
                        <w:rFonts w:ascii="Aptos" w:eastAsia="Aptos" w:hAnsi="Aptos" w:cs="Aptos"/>
                        <w:noProof/>
                        <w:color w:val="000000"/>
                        <w:sz w:val="20"/>
                        <w:szCs w:val="20"/>
                      </w:rPr>
                      <w:t>Internal Use</w:t>
                    </w:r>
                  </w:p>
                </w:txbxContent>
              </v:textbox>
              <w10:wrap anchorx="page" anchory="page"/>
            </v:shape>
          </w:pict>
        </mc:Fallback>
      </mc:AlternateContent>
    </w:r>
    <w:r w:rsidR="00A120D1">
      <w:rPr>
        <w:noProof/>
        <w:color w:val="000000"/>
      </w:rPr>
      <mc:AlternateContent>
        <mc:Choice Requires="wps">
          <w:drawing>
            <wp:anchor distT="0" distB="0" distL="0" distR="0" simplePos="0" relativeHeight="251661312" behindDoc="0" locked="0" layoutInCell="1" hidden="0" allowOverlap="1" wp14:anchorId="679ECFB5" wp14:editId="52933762">
              <wp:simplePos x="0" y="0"/>
              <wp:positionH relativeFrom="page">
                <wp:align>right</wp:align>
              </wp:positionH>
              <wp:positionV relativeFrom="page">
                <wp:align>top</wp:align>
              </wp:positionV>
              <wp:extent cx="938530" cy="364490"/>
              <wp:effectExtent l="0" t="0" r="0" b="0"/>
              <wp:wrapNone/>
              <wp:docPr id="1711327897" name="Rectangle 1711327897" descr="Internal Use">
                <a:extLst xmlns:a="http://schemas.openxmlformats.org/drawingml/2006/main">
                  <a:ext uri="{FF2B5EF4-FFF2-40B4-BE49-F238E27FC236}">
                    <a16:creationId xmlns:a16="http://schemas.microsoft.com/office/drawing/2014/main" id="{FD268D0F-450B-48FE-8882-75751E7F0BE4}"/>
                  </a:ext>
                </a:extLst>
              </wp:docPr>
              <wp:cNvGraphicFramePr/>
              <a:graphic xmlns:a="http://schemas.openxmlformats.org/drawingml/2006/main">
                <a:graphicData uri="http://schemas.microsoft.com/office/word/2010/wordprocessingShape">
                  <wps:wsp>
                    <wps:cNvSpPr/>
                    <wps:spPr>
                      <a:xfrm>
                        <a:off x="4886260" y="3607280"/>
                        <a:ext cx="919480" cy="345440"/>
                      </a:xfrm>
                      <a:prstGeom prst="rect">
                        <a:avLst/>
                      </a:prstGeom>
                      <a:noFill/>
                      <a:ln>
                        <a:noFill/>
                      </a:ln>
                    </wps:spPr>
                    <wps:txbx>
                      <w:txbxContent>
                        <w:p w14:paraId="0F6E29C3" w14:textId="77777777" w:rsidR="00A120D1" w:rsidRDefault="00A120D1">
                          <w:pPr>
                            <w:textDirection w:val="btLr"/>
                          </w:pPr>
                          <w:r>
                            <w:rPr>
                              <w:rFonts w:ascii="Aptos" w:eastAsia="Aptos" w:hAnsi="Aptos" w:cs="Aptos"/>
                              <w:color w:val="000000"/>
                              <w:sz w:val="20"/>
                            </w:rPr>
                            <w:t>Internal Use</w:t>
                          </w:r>
                        </w:p>
                      </w:txbxContent>
                    </wps:txbx>
                    <wps:bodyPr spcFirstLastPara="1" wrap="square" lIns="0" tIns="190500" rIns="254000" bIns="0" anchor="t" anchorCtr="0">
                      <a:noAutofit/>
                    </wps:bodyPr>
                  </wps:wsp>
                </a:graphicData>
              </a:graphic>
            </wp:anchor>
          </w:drawing>
        </mc:Choice>
        <mc:Fallback>
          <w:pict>
            <v:rect w14:anchorId="679ECFB5" id="Rectangle 1711327897" o:spid="_x0000_s1027" alt="Internal Use" style="position:absolute;margin-left:22.7pt;margin-top:0;width:73.9pt;height:28.7pt;z-index:251661312;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" filled="f" stroked="f">
              <v:textbox inset="0,15pt,20pt,0">
                <w:txbxContent>
                  <w:p w14:paraId="0F6E29C3" w14:textId="77777777" w:rsidR="00A120D1" w:rsidRDefault="00A120D1">
                    <w:pPr>
                      <w:textDirection w:val="btLr"/>
                    </w:pPr>
                    <w:r>
                      <w:rPr>
                        <w:rFonts w:ascii="Aptos" w:eastAsia="Aptos" w:hAnsi="Aptos" w:cs="Aptos"/>
                        <w:color w:val="000000"/>
                        <w:sz w:val="20"/>
                      </w:rPr>
                      <w:t>Internal Use</w:t>
                    </w:r>
                  </w:p>
                </w:txbxContent>
              </v:textbox>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2148A" w14:textId="46160419" w:rsidR="00A120D1" w:rsidRDefault="00E3745D">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0" distR="0" simplePos="0" relativeHeight="251664384" behindDoc="0" locked="0" layoutInCell="1" allowOverlap="1" wp14:anchorId="55A7FACA" wp14:editId="2E35845D">
              <wp:simplePos x="914400" y="447675"/>
              <wp:positionH relativeFrom="page">
                <wp:align>right</wp:align>
              </wp:positionH>
              <wp:positionV relativeFrom="page">
                <wp:align>top</wp:align>
              </wp:positionV>
              <wp:extent cx="917575" cy="370205"/>
              <wp:effectExtent l="0" t="0" r="0" b="10795"/>
              <wp:wrapNone/>
              <wp:docPr id="1491662023" name="Text Box 3" descr="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7575" cy="370205"/>
                      </a:xfrm>
                      <a:prstGeom prst="rect">
                        <a:avLst/>
                      </a:prstGeom>
                      <a:noFill/>
                      <a:ln>
                        <a:noFill/>
                      </a:ln>
                    </wps:spPr>
                    <wps:txbx>
                      <w:txbxContent>
                        <w:p w14:paraId="29D4D4A2" w14:textId="64EE0B23" w:rsidR="00E3745D" w:rsidRPr="00E3745D" w:rsidRDefault="00E3745D" w:rsidP="00E3745D">
                          <w:pPr>
                            <w:spacing w:after="0"/>
                            <w:rPr>
                              <w:rFonts w:ascii="Aptos" w:eastAsia="Aptos" w:hAnsi="Aptos" w:cs="Aptos"/>
                              <w:noProof/>
                              <w:color w:val="000000"/>
                              <w:sz w:val="20"/>
                              <w:szCs w:val="20"/>
                            </w:rPr>
                          </w:pPr>
                          <w:r w:rsidRPr="00E3745D">
                            <w:rPr>
                              <w:rFonts w:ascii="Aptos" w:eastAsia="Aptos" w:hAnsi="Aptos" w:cs="Aptos"/>
                              <w:noProof/>
                              <w:color w:val="000000"/>
                              <w:sz w:val="20"/>
                              <w:szCs w:val="20"/>
                            </w:rPr>
                            <w:t>Internal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5A7FACA" id="_x0000_t202" coordsize="21600,21600" o:spt="202" path="m,l,21600r21600,l21600,xe">
              <v:stroke joinstyle="miter"/>
              <v:path gradientshapeok="t" o:connecttype="rect"/>
            </v:shapetype>
            <v:shape id="Text Box 3" o:spid="_x0000_s1028" type="#_x0000_t202" alt="Internal Use" style="position:absolute;margin-left:21.05pt;margin-top:0;width:72.25pt;height:29.15pt;z-index:25166438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" filled="f" stroked="f">
              <v:fill o:detectmouseclick="t"/>
              <v:textbox style="mso-fit-shape-to-text:t" inset="0,15pt,20pt,0">
                <w:txbxContent>
                  <w:p w14:paraId="29D4D4A2" w14:textId="64EE0B23" w:rsidR="00E3745D" w:rsidRPr="00E3745D" w:rsidRDefault="00E3745D" w:rsidP="00E3745D">
                    <w:pPr>
                      <w:spacing w:after="0"/>
                      <w:rPr>
                        <w:rFonts w:ascii="Aptos" w:eastAsia="Aptos" w:hAnsi="Aptos" w:cs="Aptos"/>
                        <w:noProof/>
                        <w:color w:val="000000"/>
                        <w:sz w:val="20"/>
                        <w:szCs w:val="20"/>
                      </w:rPr>
                    </w:pPr>
                    <w:r w:rsidRPr="00E3745D">
                      <w:rPr>
                        <w:rFonts w:ascii="Aptos" w:eastAsia="Aptos" w:hAnsi="Aptos" w:cs="Aptos"/>
                        <w:noProof/>
                        <w:color w:val="000000"/>
                        <w:sz w:val="20"/>
                        <w:szCs w:val="20"/>
                      </w:rPr>
                      <w:t>Internal Use</w:t>
                    </w:r>
                  </w:p>
                </w:txbxContent>
              </v:textbox>
              <w10:wrap anchorx="page" anchory="page"/>
            </v:shape>
          </w:pict>
        </mc:Fallback>
      </mc:AlternateContent>
    </w:r>
    <w:r w:rsidR="00A120D1">
      <w:rPr>
        <w:noProof/>
        <w:color w:val="000000"/>
      </w:rPr>
      <mc:AlternateContent>
        <mc:Choice Requires="wps">
          <w:drawing>
            <wp:anchor distT="0" distB="0" distL="0" distR="0" simplePos="0" relativeHeight="251660288" behindDoc="0" locked="0" layoutInCell="1" hidden="0" allowOverlap="1" wp14:anchorId="2A18F7D8" wp14:editId="1AE8E3CD">
              <wp:simplePos x="0" y="0"/>
              <wp:positionH relativeFrom="page">
                <wp:align>right</wp:align>
              </wp:positionH>
              <wp:positionV relativeFrom="page">
                <wp:align>top</wp:align>
              </wp:positionV>
              <wp:extent cx="938530" cy="364490"/>
              <wp:effectExtent l="0" t="0" r="0" b="0"/>
              <wp:wrapNone/>
              <wp:docPr id="1711327896" name="Rectangle 1711327896" descr="Internal Use">
                <a:extLst xmlns:a="http://schemas.openxmlformats.org/drawingml/2006/main">
                  <a:ext uri="{FF2B5EF4-FFF2-40B4-BE49-F238E27FC236}">
                    <a16:creationId xmlns:a16="http://schemas.microsoft.com/office/drawing/2014/main" id="{22849961-F76B-42D0-8B38-16B8C05761E6}"/>
                  </a:ext>
                </a:extLst>
              </wp:docPr>
              <wp:cNvGraphicFramePr/>
              <a:graphic xmlns:a="http://schemas.openxmlformats.org/drawingml/2006/main">
                <a:graphicData uri="http://schemas.microsoft.com/office/word/2010/wordprocessingShape">
                  <wps:wsp>
                    <wps:cNvSpPr/>
                    <wps:spPr>
                      <a:xfrm>
                        <a:off x="4886260" y="3607280"/>
                        <a:ext cx="919480" cy="345440"/>
                      </a:xfrm>
                      <a:prstGeom prst="rect">
                        <a:avLst/>
                      </a:prstGeom>
                      <a:noFill/>
                      <a:ln>
                        <a:noFill/>
                      </a:ln>
                    </wps:spPr>
                    <wps:txbx>
                      <w:txbxContent>
                        <w:p w14:paraId="00F6A1E2" w14:textId="77777777" w:rsidR="00A120D1" w:rsidRDefault="00A120D1">
                          <w:pPr>
                            <w:textDirection w:val="btLr"/>
                          </w:pPr>
                        </w:p>
                      </w:txbxContent>
                    </wps:txbx>
                    <wps:bodyPr spcFirstLastPara="1" wrap="square" lIns="0" tIns="190500" rIns="254000" bIns="0" anchor="t" anchorCtr="0">
                      <a:noAutofit/>
                    </wps:bodyPr>
                  </wps:wsp>
                </a:graphicData>
              </a:graphic>
            </wp:anchor>
          </w:drawing>
        </mc:Choice>
        <mc:Fallback>
          <w:pict>
            <v:rect w14:anchorId="2A18F7D8" id="Rectangle 1711327896" o:spid="_x0000_s1029" alt="Internal Use" style="position:absolute;margin-left:22.7pt;margin-top:0;width:73.9pt;height:28.7pt;z-index:251660288;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" filled="f" stroked="f">
              <v:textbox inset="0,15pt,20pt,0">
                <w:txbxContent>
                  <w:p w14:paraId="00F6A1E2" w14:textId="77777777" w:rsidR="00A120D1" w:rsidRDefault="00A120D1">
                    <w:pPr>
                      <w:textDirection w:val="btLr"/>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034D" w14:textId="29A9323D" w:rsidR="00A120D1" w:rsidRDefault="00E3745D">
    <w:pPr>
      <w:pBdr>
        <w:top w:val="nil"/>
        <w:left w:val="nil"/>
        <w:bottom w:val="nil"/>
        <w:right w:val="nil"/>
        <w:between w:val="nil"/>
      </w:pBdr>
      <w:tabs>
        <w:tab w:val="center" w:pos="4513"/>
        <w:tab w:val="right" w:pos="9026"/>
      </w:tabs>
      <w:rPr>
        <w:color w:val="000000"/>
      </w:rPr>
    </w:pPr>
    <w:r>
      <w:rPr>
        <w:noProof/>
        <w:color w:val="000000"/>
      </w:rPr>
      <mc:AlternateContent>
        <mc:Choice Requires="wps">
          <w:drawing>
            <wp:anchor distT="0" distB="0" distL="0" distR="0" simplePos="0" relativeHeight="251662336" behindDoc="0" locked="0" layoutInCell="1" allowOverlap="1" wp14:anchorId="5AF90648" wp14:editId="315FE013">
              <wp:simplePos x="635" y="635"/>
              <wp:positionH relativeFrom="page">
                <wp:align>right</wp:align>
              </wp:positionH>
              <wp:positionV relativeFrom="page">
                <wp:align>top</wp:align>
              </wp:positionV>
              <wp:extent cx="917575" cy="370205"/>
              <wp:effectExtent l="0" t="0" r="0" b="10795"/>
              <wp:wrapNone/>
              <wp:docPr id="2051448084" name="Text Box 1" descr="Intern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7575" cy="370205"/>
                      </a:xfrm>
                      <a:prstGeom prst="rect">
                        <a:avLst/>
                      </a:prstGeom>
                      <a:noFill/>
                      <a:ln>
                        <a:noFill/>
                      </a:ln>
                    </wps:spPr>
                    <wps:txbx>
                      <w:txbxContent>
                        <w:p w14:paraId="3636D214" w14:textId="7026085A" w:rsidR="00E3745D" w:rsidRPr="00E3745D" w:rsidRDefault="00E3745D" w:rsidP="00E3745D">
                          <w:pPr>
                            <w:spacing w:after="0"/>
                            <w:rPr>
                              <w:rFonts w:ascii="Aptos" w:eastAsia="Aptos" w:hAnsi="Aptos" w:cs="Aptos"/>
                              <w:noProof/>
                              <w:color w:val="000000"/>
                              <w:sz w:val="20"/>
                              <w:szCs w:val="20"/>
                            </w:rPr>
                          </w:pPr>
                          <w:r w:rsidRPr="00E3745D">
                            <w:rPr>
                              <w:rFonts w:ascii="Aptos" w:eastAsia="Aptos" w:hAnsi="Aptos" w:cs="Aptos"/>
                              <w:noProof/>
                              <w:color w:val="000000"/>
                              <w:sz w:val="20"/>
                              <w:szCs w:val="20"/>
                            </w:rPr>
                            <w:t>Internal Use</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AF90648" id="_x0000_t202" coordsize="21600,21600" o:spt="202" path="m,l,21600r21600,l21600,xe">
              <v:stroke joinstyle="miter"/>
              <v:path gradientshapeok="t" o:connecttype="rect"/>
            </v:shapetype>
            <v:shape id="Text Box 1" o:spid="_x0000_s1030" type="#_x0000_t202" alt="Internal Use" style="position:absolute;margin-left:21.05pt;margin-top:0;width:72.25pt;height:29.1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" filled="f" stroked="f">
              <v:fill o:detectmouseclick="t"/>
              <v:textbox style="mso-fit-shape-to-text:t" inset="0,15pt,20pt,0">
                <w:txbxContent>
                  <w:p w14:paraId="3636D214" w14:textId="7026085A" w:rsidR="00E3745D" w:rsidRPr="00E3745D" w:rsidRDefault="00E3745D" w:rsidP="00E3745D">
                    <w:pPr>
                      <w:spacing w:after="0"/>
                      <w:rPr>
                        <w:rFonts w:ascii="Aptos" w:eastAsia="Aptos" w:hAnsi="Aptos" w:cs="Aptos"/>
                        <w:noProof/>
                        <w:color w:val="000000"/>
                        <w:sz w:val="20"/>
                        <w:szCs w:val="20"/>
                      </w:rPr>
                    </w:pPr>
                    <w:r w:rsidRPr="00E3745D">
                      <w:rPr>
                        <w:rFonts w:ascii="Aptos" w:eastAsia="Aptos" w:hAnsi="Aptos" w:cs="Aptos"/>
                        <w:noProof/>
                        <w:color w:val="000000"/>
                        <w:sz w:val="20"/>
                        <w:szCs w:val="20"/>
                      </w:rPr>
                      <w:t>Internal Use</w:t>
                    </w:r>
                  </w:p>
                </w:txbxContent>
              </v:textbox>
              <w10:wrap anchorx="page" anchory="page"/>
            </v:shape>
          </w:pict>
        </mc:Fallback>
      </mc:AlternateContent>
    </w:r>
    <w:r w:rsidR="00A120D1">
      <w:rPr>
        <w:noProof/>
        <w:color w:val="000000"/>
      </w:rPr>
      <mc:AlternateContent>
        <mc:Choice Requires="wps">
          <w:drawing>
            <wp:anchor distT="0" distB="0" distL="0" distR="0" simplePos="0" relativeHeight="251659264" behindDoc="0" locked="0" layoutInCell="1" hidden="0" allowOverlap="1" wp14:anchorId="6E37DA51" wp14:editId="6FBF558D">
              <wp:simplePos x="0" y="0"/>
              <wp:positionH relativeFrom="page">
                <wp:align>right</wp:align>
              </wp:positionH>
              <wp:positionV relativeFrom="page">
                <wp:align>top</wp:align>
              </wp:positionV>
              <wp:extent cx="938530" cy="364490"/>
              <wp:effectExtent l="0" t="0" r="0" b="0"/>
              <wp:wrapNone/>
              <wp:docPr id="1711327895" name="Rectangle 1711327895" descr="Internal Use">
                <a:extLst xmlns:a="http://schemas.openxmlformats.org/drawingml/2006/main">
                  <a:ext uri="{FF2B5EF4-FFF2-40B4-BE49-F238E27FC236}">
                    <a16:creationId xmlns:a16="http://schemas.microsoft.com/office/drawing/2014/main" id="{A348F4F6-BE95-483C-94E0-F80AF8E5EA41}"/>
                  </a:ext>
                </a:extLst>
              </wp:docPr>
              <wp:cNvGraphicFramePr/>
              <a:graphic xmlns:a="http://schemas.openxmlformats.org/drawingml/2006/main">
                <a:graphicData uri="http://schemas.microsoft.com/office/word/2010/wordprocessingShape">
                  <wps:wsp>
                    <wps:cNvSpPr/>
                    <wps:spPr>
                      <a:xfrm>
                        <a:off x="4886260" y="3607280"/>
                        <a:ext cx="919480" cy="345440"/>
                      </a:xfrm>
                      <a:prstGeom prst="rect">
                        <a:avLst/>
                      </a:prstGeom>
                      <a:noFill/>
                      <a:ln>
                        <a:noFill/>
                      </a:ln>
                    </wps:spPr>
                    <wps:txbx>
                      <w:txbxContent>
                        <w:p w14:paraId="2F2B5F05" w14:textId="77777777" w:rsidR="00A120D1" w:rsidRDefault="00A120D1">
                          <w:pPr>
                            <w:textDirection w:val="btLr"/>
                          </w:pPr>
                        </w:p>
                      </w:txbxContent>
                    </wps:txbx>
                    <wps:bodyPr spcFirstLastPara="1" wrap="square" lIns="0" tIns="190500" rIns="254000" bIns="0" anchor="t" anchorCtr="0">
                      <a:noAutofit/>
                    </wps:bodyPr>
                  </wps:wsp>
                </a:graphicData>
              </a:graphic>
            </wp:anchor>
          </w:drawing>
        </mc:Choice>
        <mc:Fallback>
          <w:pict>
            <v:rect w14:anchorId="6E37DA51" id="Rectangle 1711327895" o:spid="_x0000_s1031" alt="Internal Use" style="position:absolute;margin-left:22.7pt;margin-top:0;width:73.9pt;height:28.7pt;z-index:251659264;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" filled="f" stroked="f">
              <v:textbox inset="0,15pt,20pt,0">
                <w:txbxContent>
                  <w:p w14:paraId="2F2B5F05" w14:textId="77777777" w:rsidR="00A120D1" w:rsidRDefault="00A120D1">
                    <w:pPr>
                      <w:textDirection w:val="btL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14433"/>
    <w:multiLevelType w:val="multilevel"/>
    <w:tmpl w:val="295E4E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FE05D52"/>
    <w:multiLevelType w:val="hybridMultilevel"/>
    <w:tmpl w:val="59BAC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23902768">
    <w:abstractNumId w:val="1"/>
  </w:num>
  <w:num w:numId="2" w16cid:durableId="92492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45D"/>
    <w:rsid w:val="000E0007"/>
    <w:rsid w:val="00137900"/>
    <w:rsid w:val="00A120D1"/>
    <w:rsid w:val="00D85848"/>
    <w:rsid w:val="00E37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71D43"/>
  <w15:chartTrackingRefBased/>
  <w15:docId w15:val="{9DDC5975-9201-40F2-A1FE-BDD529FE2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4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4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4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4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4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4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4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4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4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4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4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4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4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4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4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4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4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45D"/>
    <w:rPr>
      <w:rFonts w:eastAsiaTheme="majorEastAsia" w:cstheme="majorBidi"/>
      <w:color w:val="272727" w:themeColor="text1" w:themeTint="D8"/>
    </w:rPr>
  </w:style>
  <w:style w:type="paragraph" w:styleId="Title">
    <w:name w:val="Title"/>
    <w:basedOn w:val="Normal"/>
    <w:next w:val="Normal"/>
    <w:link w:val="TitleChar"/>
    <w:uiPriority w:val="10"/>
    <w:qFormat/>
    <w:rsid w:val="00E37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4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4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4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45D"/>
    <w:pPr>
      <w:spacing w:before="160"/>
      <w:jc w:val="center"/>
    </w:pPr>
    <w:rPr>
      <w:i/>
      <w:iCs/>
      <w:color w:val="404040" w:themeColor="text1" w:themeTint="BF"/>
    </w:rPr>
  </w:style>
  <w:style w:type="character" w:customStyle="1" w:styleId="QuoteChar">
    <w:name w:val="Quote Char"/>
    <w:basedOn w:val="DefaultParagraphFont"/>
    <w:link w:val="Quote"/>
    <w:uiPriority w:val="29"/>
    <w:rsid w:val="00E3745D"/>
    <w:rPr>
      <w:i/>
      <w:iCs/>
      <w:color w:val="404040" w:themeColor="text1" w:themeTint="BF"/>
    </w:rPr>
  </w:style>
  <w:style w:type="paragraph" w:styleId="ListParagraph">
    <w:name w:val="List Paragraph"/>
    <w:basedOn w:val="Normal"/>
    <w:uiPriority w:val="34"/>
    <w:qFormat/>
    <w:rsid w:val="00E3745D"/>
    <w:pPr>
      <w:ind w:left="720"/>
      <w:contextualSpacing/>
    </w:pPr>
  </w:style>
  <w:style w:type="character" w:styleId="IntenseEmphasis">
    <w:name w:val="Intense Emphasis"/>
    <w:basedOn w:val="DefaultParagraphFont"/>
    <w:uiPriority w:val="21"/>
    <w:qFormat/>
    <w:rsid w:val="00E3745D"/>
    <w:rPr>
      <w:i/>
      <w:iCs/>
      <w:color w:val="0F4761" w:themeColor="accent1" w:themeShade="BF"/>
    </w:rPr>
  </w:style>
  <w:style w:type="paragraph" w:styleId="IntenseQuote">
    <w:name w:val="Intense Quote"/>
    <w:basedOn w:val="Normal"/>
    <w:next w:val="Normal"/>
    <w:link w:val="IntenseQuoteChar"/>
    <w:uiPriority w:val="30"/>
    <w:qFormat/>
    <w:rsid w:val="00E374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45D"/>
    <w:rPr>
      <w:i/>
      <w:iCs/>
      <w:color w:val="0F4761" w:themeColor="accent1" w:themeShade="BF"/>
    </w:rPr>
  </w:style>
  <w:style w:type="character" w:styleId="IntenseReference">
    <w:name w:val="Intense Reference"/>
    <w:basedOn w:val="DefaultParagraphFont"/>
    <w:uiPriority w:val="32"/>
    <w:qFormat/>
    <w:rsid w:val="00E3745D"/>
    <w:rPr>
      <w:b/>
      <w:bCs/>
      <w:smallCaps/>
      <w:color w:val="0F4761" w:themeColor="accent1" w:themeShade="BF"/>
      <w:spacing w:val="5"/>
    </w:rPr>
  </w:style>
  <w:style w:type="paragraph" w:styleId="Footer">
    <w:name w:val="footer"/>
    <w:basedOn w:val="Normal"/>
    <w:link w:val="FooterChar"/>
    <w:uiPriority w:val="99"/>
    <w:semiHidden/>
    <w:unhideWhenUsed/>
    <w:rsid w:val="00E374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374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72AC4A09CDF4C84793DB8B53C6549" ma:contentTypeVersion="21" ma:contentTypeDescription="Create a new document." ma:contentTypeScope="" ma:versionID="c5d448029f44e46cbeac9747a98fd7f8">
  <xsd:schema xmlns:xsd="http://www.w3.org/2001/XMLSchema" xmlns:xs="http://www.w3.org/2001/XMLSchema" xmlns:p="http://schemas.microsoft.com/office/2006/metadata/properties" xmlns:ns2="a153af3a-88be-4167-abce-2fd366c974cc" xmlns:ns3="15ac8131-6f28-437f-bb89-657faef636c8" targetNamespace="http://schemas.microsoft.com/office/2006/metadata/properties" ma:root="true" ma:fieldsID="465a1c04929ca836ee754afe2a102e08" ns2:_="" ns3:_="">
    <xsd:import namespace="a153af3a-88be-4167-abce-2fd366c974cc"/>
    <xsd:import namespace="15ac8131-6f28-437f-bb89-657faef636c8"/>
    <xsd:element name="properties">
      <xsd:complexType>
        <xsd:sequence>
          <xsd:element name="documentManagement">
            <xsd:complexType>
              <xsd:all>
                <xsd:element ref="ns2:DocumentType" minOccurs="0"/>
                <xsd:element ref="ns2:Status" minOccurs="0"/>
                <xsd:element ref="ns2:MediaServiceMetadata" minOccurs="0"/>
                <xsd:element ref="ns2:MediaServiceFastMetadata" minOccurs="0"/>
                <xsd:element ref="ns3:_dlc_DocId" minOccurs="0"/>
                <xsd:element ref="ns3:_dlc_DocIdUrl" minOccurs="0"/>
                <xsd:element ref="ns3:_dlc_DocIdPersistId"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53af3a-88be-4167-abce-2fd366c974cc" elementFormDefault="qualified">
    <xsd:import namespace="http://schemas.microsoft.com/office/2006/documentManagement/types"/>
    <xsd:import namespace="http://schemas.microsoft.com/office/infopath/2007/PartnerControls"/>
    <xsd:element name="DocumentType" ma:index="8" nillable="true" ma:displayName="Document type" ma:format="Dropdown" ma:internalName="DocumentType" ma:readOnly="false">
      <xsd:simpleType>
        <xsd:restriction base="dms:Choice">
          <xsd:enumeration value="-"/>
        </xsd:restriction>
      </xsd:simpleType>
    </xsd:element>
    <xsd:element name="Status" ma:index="9" nillable="true" ma:displayName="Status" ma:format="Dropdown" ma:internalName="Status" ma:readOnly="false">
      <xsd:simpleType>
        <xsd:restriction base="dms:Choice">
          <xsd:enumeration value="Draft"/>
          <xsd:enumeration value="Ready for approval"/>
          <xsd:enumeration value="Approved / Released"/>
          <xsd:enumeration value="Outdat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ac0feec-d12f-4e8a-a0f9-8c1043693aa7"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ac8131-6f28-437f-bb89-657faef636c8"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SharedWithUsers" ma:index="20"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496aca09-1b87-4733-b184-4f62b479014a}" ma:internalName="TaxCatchAll" ma:showField="CatchAllData" ma:web="15ac8131-6f28-437f-bb89-657faef636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 xmlns="a153af3a-88be-4167-abce-2fd366c974cc" xsi:nil="true"/>
    <DocumentType xmlns="a153af3a-88be-4167-abce-2fd366c974cc" xsi:nil="true"/>
    <TaxCatchAll xmlns="15ac8131-6f28-437f-bb89-657faef636c8" xsi:nil="true"/>
    <_Flow_SignoffStatus xmlns="a153af3a-88be-4167-abce-2fd366c974cc" xsi:nil="true"/>
    <lcf76f155ced4ddcb4097134ff3c332f xmlns="a153af3a-88be-4167-abce-2fd366c974cc">
      <Terms xmlns="http://schemas.microsoft.com/office/infopath/2007/PartnerControls"/>
    </lcf76f155ced4ddcb4097134ff3c332f>
    <_dlc_DocId xmlns="15ac8131-6f28-437f-bb89-657faef636c8">ESM1-244363895-42302</_dlc_DocId>
    <_dlc_DocIdUrl xmlns="15ac8131-6f28-437f-bb89-657faef636c8">
      <Url>https://esm.sharepoint.com/sites/BAU-CLP/_layouts/15/DocIdRedir.aspx?ID=ESM1-244363895-42302</Url>
      <Description>ESM1-244363895-42302</Description>
    </_dlc_DocIdUrl>
  </documentManagement>
</p:properties>
</file>

<file path=customXml/itemProps1.xml><?xml version="1.0" encoding="utf-8"?>
<ds:datastoreItem xmlns:ds="http://schemas.openxmlformats.org/officeDocument/2006/customXml" ds:itemID="{4300849D-E582-40A6-B89A-E791A3021DC3}"/>
</file>

<file path=customXml/itemProps2.xml><?xml version="1.0" encoding="utf-8"?>
<ds:datastoreItem xmlns:ds="http://schemas.openxmlformats.org/officeDocument/2006/customXml" ds:itemID="{5D3EE09A-78BD-468C-BF02-71A3CE565686}"/>
</file>

<file path=customXml/itemProps3.xml><?xml version="1.0" encoding="utf-8"?>
<ds:datastoreItem xmlns:ds="http://schemas.openxmlformats.org/officeDocument/2006/customXml" ds:itemID="{03DCA565-D8C1-4262-99E1-A3303C76C451}"/>
</file>

<file path=customXml/itemProps4.xml><?xml version="1.0" encoding="utf-8"?>
<ds:datastoreItem xmlns:ds="http://schemas.openxmlformats.org/officeDocument/2006/customXml" ds:itemID="{A1C1092D-3E86-4C9D-8F6F-6754B0F213A5}"/>
</file>

<file path=docProps/app.xml><?xml version="1.0" encoding="utf-8"?>
<Properties xmlns="http://schemas.openxmlformats.org/officeDocument/2006/extended-properties" xmlns:vt="http://schemas.openxmlformats.org/officeDocument/2006/docPropsVTypes">
  <Template>Normal</Template>
  <TotalTime>1</TotalTime>
  <Pages>4</Pages>
  <Words>1116</Words>
  <Characters>6530</Characters>
  <Application>Microsoft Office Word</Application>
  <DocSecurity>0</DocSecurity>
  <Lines>141</Lines>
  <Paragraphs>74</Paragraphs>
  <ScaleCrop>false</ScaleCrop>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Gerhardt</dc:creator>
  <cp:keywords/>
  <dc:description/>
  <cp:lastModifiedBy>Asta Gerhardt</cp:lastModifiedBy>
  <cp:revision>1</cp:revision>
  <dcterms:created xsi:type="dcterms:W3CDTF">2026-09-25T15:31:00Z</dcterms:created>
  <dcterms:modified xsi:type="dcterms:W3CDTF">2026-09-25T15:32:00Z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7a469d14,71c86327,58e8f4c7</vt:lpwstr>
  </property>
  <property fmtid="{D5CDD505-2E9C-101B-9397-08002B2CF9AE}" pid="3" name="ClassificationContentMarkingHeaderFontProps">
    <vt:lpwstr>#000000,10,Aptos</vt:lpwstr>
  </property>
  <property fmtid="{D5CDD505-2E9C-101B-9397-08002B2CF9AE}" pid="4" name="ClassificationContentMarkingHeaderText">
    <vt:lpwstr>Internal Use</vt:lpwstr>
  </property>
  <property fmtid="{D5CDD505-2E9C-101B-9397-08002B2CF9AE}" pid="5" name="MSIP_Label_1764a71f-7e5e-4aeb-ba26-1fccf4925c1d_Enabled">
    <vt:lpwstr>true</vt:lpwstr>
  </property>
  <property fmtid="{D5CDD505-2E9C-101B-9397-08002B2CF9AE}" pid="6" name="MSIP_Label_1764a71f-7e5e-4aeb-ba26-1fccf4925c1d_SetDate">
    <vt:lpwstr>2026-09-25T15:32:44Z</vt:lpwstr>
  </property>
  <property fmtid="{D5CDD505-2E9C-101B-9397-08002B2CF9AE}" pid="7" name="MSIP_Label_1764a71f-7e5e-4aeb-ba26-1fccf4925c1d_Method">
    <vt:lpwstr>Standard</vt:lpwstr>
  </property>
  <property fmtid="{D5CDD505-2E9C-101B-9397-08002B2CF9AE}" pid="8" name="MSIP_Label_1764a71f-7e5e-4aeb-ba26-1fccf4925c1d_Name">
    <vt:lpwstr>Internal</vt:lpwstr>
  </property>
  <property fmtid="{D5CDD505-2E9C-101B-9397-08002B2CF9AE}" pid="9" name="MSIP_Label_1764a71f-7e5e-4aeb-ba26-1fccf4925c1d_SiteId">
    <vt:lpwstr>98e29ecf-22bf-49bc-85a7-51537b56ef79</vt:lpwstr>
  </property>
  <property fmtid="{D5CDD505-2E9C-101B-9397-08002B2CF9AE}" pid="10" name="MSIP_Label_1764a71f-7e5e-4aeb-ba26-1fccf4925c1d_ActionId">
    <vt:lpwstr>b34f4de5-8ca2-453e-b7e3-a672ed44cb90</vt:lpwstr>
  </property>
  <property fmtid="{D5CDD505-2E9C-101B-9397-08002B2CF9AE}" pid="11" name="MSIP_Label_1764a71f-7e5e-4aeb-ba26-1fccf4925c1d_ContentBits">
    <vt:lpwstr>1</vt:lpwstr>
  </property>
  <property fmtid="{D5CDD505-2E9C-101B-9397-08002B2CF9AE}" pid="12" name="MSIP_Label_1764a71f-7e5e-4aeb-ba26-1fccf4925c1d_Tag">
    <vt:lpwstr>10, 3, 0, 1</vt:lpwstr>
  </property>
  <property fmtid="{D5CDD505-2E9C-101B-9397-08002B2CF9AE}" pid="13" name="ContentTypeId">
    <vt:lpwstr>0x01010005B72AC4A09CDF4C84793DB8B53C6549</vt:lpwstr>
  </property>
  <property fmtid="{D5CDD505-2E9C-101B-9397-08002B2CF9AE}" pid="14" name="_dlc_DocIdItemGuid">
    <vt:lpwstr>0134c656-aeab-47ed-b7fd-eee841d6724f</vt:lpwstr>
  </property>
  <property fmtid="{D5CDD505-2E9C-101B-9397-08002B2CF9AE}" pid="15" name="MediaServiceImageTags">
    <vt:lpwstr/>
  </property>
</Properties>
</file>