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DC0CA" w14:textId="372C09BC" w:rsidR="000D2912" w:rsidRDefault="00B6210B">
      <w:pPr>
        <w:pStyle w:val="BodyText"/>
        <w:spacing w:before="79"/>
        <w:ind w:left="0" w:right="114"/>
        <w:jc w:val="right"/>
      </w:pPr>
      <w:bookmarkStart w:id="0" w:name="_GoBack"/>
      <w:bookmarkEnd w:id="0"/>
      <w:r>
        <w:t xml:space="preserve">Luxembourg, </w:t>
      </w:r>
      <w:r w:rsidR="00E305DB">
        <w:t>14</w:t>
      </w:r>
      <w:r>
        <w:t xml:space="preserve"> June</w:t>
      </w:r>
      <w:r>
        <w:rPr>
          <w:spacing w:val="-1"/>
        </w:rPr>
        <w:t xml:space="preserve"> </w:t>
      </w:r>
      <w:r w:rsidR="00A56BE8">
        <w:t>20</w:t>
      </w:r>
      <w:r w:rsidR="00106108">
        <w:t>2</w:t>
      </w:r>
      <w:r w:rsidR="00E305DB">
        <w:t>1</w:t>
      </w:r>
    </w:p>
    <w:p w14:paraId="3E39C4FF" w14:textId="77777777" w:rsidR="000D2912" w:rsidRDefault="000D2912">
      <w:pPr>
        <w:pStyle w:val="Body"/>
        <w:spacing w:before="2"/>
        <w:rPr>
          <w:sz w:val="21"/>
          <w:szCs w:val="21"/>
        </w:rPr>
      </w:pPr>
    </w:p>
    <w:p w14:paraId="49474CA5" w14:textId="7343D772" w:rsidR="000D2912" w:rsidRDefault="00B6210B">
      <w:pPr>
        <w:pStyle w:val="Heading"/>
        <w:ind w:left="0" w:right="115" w:firstLine="0"/>
        <w:jc w:val="right"/>
        <w:rPr>
          <w:b w:val="0"/>
          <w:bCs w:val="0"/>
          <w:sz w:val="14"/>
          <w:szCs w:val="14"/>
        </w:rPr>
      </w:pPr>
      <w:r>
        <w:rPr>
          <w:color w:val="2D74B5"/>
          <w:u w:color="2D74B5"/>
        </w:rPr>
        <w:t>Draft annotated agenda</w:t>
      </w:r>
      <w:r w:rsidR="00431387">
        <w:rPr>
          <w:rStyle w:val="FootnoteReference"/>
          <w:color w:val="2D74B5"/>
          <w:u w:color="2D74B5"/>
        </w:rPr>
        <w:footnoteReference w:id="2"/>
      </w:r>
    </w:p>
    <w:p w14:paraId="4F541FE5" w14:textId="77777777" w:rsidR="000D2912" w:rsidRDefault="000D2912">
      <w:pPr>
        <w:pStyle w:val="Body"/>
        <w:rPr>
          <w:sz w:val="20"/>
          <w:szCs w:val="20"/>
        </w:rPr>
      </w:pPr>
    </w:p>
    <w:p w14:paraId="2ECBFF85" w14:textId="77777777" w:rsidR="000D2912" w:rsidRDefault="000D2912">
      <w:pPr>
        <w:pStyle w:val="Body"/>
        <w:rPr>
          <w:b/>
          <w:bCs/>
        </w:rPr>
      </w:pPr>
    </w:p>
    <w:p w14:paraId="3EABE360" w14:textId="77777777" w:rsidR="00A56BE8" w:rsidRDefault="005F417A" w:rsidP="005F417A">
      <w:pPr>
        <w:pStyle w:val="Body"/>
        <w:jc w:val="center"/>
        <w:rPr>
          <w:b/>
          <w:bCs/>
        </w:rPr>
      </w:pPr>
      <w:r w:rsidRPr="005F417A">
        <w:rPr>
          <w:b/>
          <w:bCs/>
        </w:rPr>
        <w:t>Annual Meeting of the Board of Governors</w:t>
      </w:r>
    </w:p>
    <w:p w14:paraId="63166EC1" w14:textId="376389B5" w:rsidR="000D2912" w:rsidRDefault="00A56BE8" w:rsidP="005F417A">
      <w:pPr>
        <w:pStyle w:val="Body"/>
        <w:jc w:val="center"/>
        <w:rPr>
          <w:b/>
          <w:bCs/>
        </w:rPr>
      </w:pPr>
      <w:r>
        <w:rPr>
          <w:b/>
          <w:bCs/>
        </w:rPr>
        <w:t>1</w:t>
      </w:r>
      <w:r w:rsidR="00E305DB">
        <w:rPr>
          <w:b/>
          <w:bCs/>
        </w:rPr>
        <w:t>7 June 2021</w:t>
      </w:r>
    </w:p>
    <w:p w14:paraId="4AA8F02F" w14:textId="77777777" w:rsidR="005F417A" w:rsidRDefault="005F417A" w:rsidP="005F417A">
      <w:pPr>
        <w:pStyle w:val="Body"/>
        <w:jc w:val="center"/>
        <w:rPr>
          <w:b/>
          <w:bCs/>
        </w:rPr>
      </w:pPr>
    </w:p>
    <w:p w14:paraId="247F00C2" w14:textId="77777777" w:rsidR="00776B50" w:rsidRDefault="00776B50" w:rsidP="005F417A">
      <w:pPr>
        <w:pStyle w:val="Body"/>
        <w:jc w:val="center"/>
        <w:rPr>
          <w:b/>
          <w:bCs/>
        </w:rPr>
      </w:pPr>
    </w:p>
    <w:p w14:paraId="6EA3BFFF" w14:textId="00E96EEE" w:rsidR="000D2912" w:rsidRDefault="00345433" w:rsidP="00776B50">
      <w:pPr>
        <w:pStyle w:val="BodyText"/>
        <w:spacing w:line="258" w:lineRule="auto"/>
        <w:ind w:left="0" w:right="112"/>
        <w:jc w:val="both"/>
      </w:pPr>
      <w:r>
        <w:t>On 1</w:t>
      </w:r>
      <w:r w:rsidR="00E305DB">
        <w:t>7</w:t>
      </w:r>
      <w:r>
        <w:t xml:space="preserve"> June 20</w:t>
      </w:r>
      <w:r w:rsidR="00E305DB">
        <w:t>21,</w:t>
      </w:r>
      <w:r>
        <w:t xml:space="preserve"> t</w:t>
      </w:r>
      <w:r w:rsidR="00B6210B">
        <w:t>he Board of Governors, chaired by</w:t>
      </w:r>
      <w:r w:rsidR="005D4288">
        <w:t xml:space="preserve"> </w:t>
      </w:r>
      <w:r w:rsidR="00E305DB">
        <w:t xml:space="preserve">Paschal </w:t>
      </w:r>
      <w:proofErr w:type="spellStart"/>
      <w:r w:rsidR="00E305DB">
        <w:t>Donohoe</w:t>
      </w:r>
      <w:proofErr w:type="spellEnd"/>
      <w:r w:rsidR="00E305DB">
        <w:t>,</w:t>
      </w:r>
      <w:r w:rsidR="00A56BE8">
        <w:t xml:space="preserve"> </w:t>
      </w:r>
      <w:r w:rsidR="00E305DB">
        <w:t>Minister for</w:t>
      </w:r>
      <w:r w:rsidR="009A164B">
        <w:t xml:space="preserve"> Finance and </w:t>
      </w:r>
      <w:r w:rsidR="000A0054">
        <w:t xml:space="preserve">ESM </w:t>
      </w:r>
      <w:r w:rsidR="00E305DB">
        <w:t>Governor for Ireland</w:t>
      </w:r>
      <w:r w:rsidR="009A164B">
        <w:t xml:space="preserve">, </w:t>
      </w:r>
      <w:r w:rsidR="00E305DB">
        <w:t xml:space="preserve">will meet </w:t>
      </w:r>
      <w:r w:rsidR="000404D1" w:rsidRPr="000404D1">
        <w:t xml:space="preserve">at the European </w:t>
      </w:r>
      <w:r w:rsidR="000404D1">
        <w:t xml:space="preserve">Convention Center in Luxembourg </w:t>
      </w:r>
      <w:r w:rsidR="00E305DB">
        <w:t xml:space="preserve">for its </w:t>
      </w:r>
      <w:r w:rsidR="007F6B65">
        <w:t>ninth</w:t>
      </w:r>
      <w:r w:rsidR="00B6210B">
        <w:t xml:space="preserve"> Annual Meeting</w:t>
      </w:r>
      <w:r w:rsidR="002678D9">
        <w:t>,</w:t>
      </w:r>
      <w:r w:rsidR="00B6210B">
        <w:t xml:space="preserve"> to consider in particular the following agenda item</w:t>
      </w:r>
      <w:r w:rsidR="00A56BE8">
        <w:t>s</w:t>
      </w:r>
      <w:r w:rsidR="00B6210B">
        <w:t>:</w:t>
      </w:r>
    </w:p>
    <w:p w14:paraId="1B098A55" w14:textId="77777777" w:rsidR="000D2912" w:rsidRPr="00A56BE8" w:rsidRDefault="000D2912">
      <w:pPr>
        <w:pStyle w:val="Body"/>
        <w:spacing w:before="9"/>
        <w:rPr>
          <w:sz w:val="21"/>
          <w:szCs w:val="21"/>
          <w:lang w:val="en-US"/>
        </w:rPr>
      </w:pPr>
    </w:p>
    <w:p w14:paraId="580C998C" w14:textId="49B5196D" w:rsidR="000D2912" w:rsidRPr="00431387" w:rsidRDefault="00B6210B">
      <w:pPr>
        <w:pStyle w:val="Heading"/>
        <w:numPr>
          <w:ilvl w:val="0"/>
          <w:numId w:val="2"/>
        </w:numPr>
        <w:jc w:val="both"/>
        <w:rPr>
          <w:b w:val="0"/>
          <w:bCs w:val="0"/>
          <w:lang w:val="en-GB"/>
        </w:rPr>
      </w:pPr>
      <w:r w:rsidRPr="00431387">
        <w:rPr>
          <w:lang w:val="en-GB"/>
        </w:rPr>
        <w:t>Approval</w:t>
      </w:r>
      <w:r w:rsidR="00E305DB">
        <w:t xml:space="preserve"> of the 2020</w:t>
      </w:r>
      <w:r>
        <w:t xml:space="preserve"> Annual</w:t>
      </w:r>
      <w:r>
        <w:rPr>
          <w:spacing w:val="-1"/>
        </w:rPr>
        <w:t xml:space="preserve"> </w:t>
      </w:r>
      <w:r w:rsidRPr="00431387">
        <w:rPr>
          <w:lang w:val="en-GB"/>
        </w:rPr>
        <w:t>Report</w:t>
      </w:r>
      <w:r>
        <w:t xml:space="preserve"> of the ESM,</w:t>
      </w:r>
      <w:r>
        <w:rPr>
          <w:spacing w:val="-1"/>
        </w:rPr>
        <w:t xml:space="preserve"> </w:t>
      </w:r>
      <w:r>
        <w:t>including the annual</w:t>
      </w:r>
      <w:r>
        <w:rPr>
          <w:spacing w:val="-1"/>
        </w:rPr>
        <w:t xml:space="preserve"> </w:t>
      </w:r>
      <w:r>
        <w:t>accounts</w:t>
      </w:r>
    </w:p>
    <w:p w14:paraId="766B7250" w14:textId="77777777" w:rsidR="000D2912" w:rsidRDefault="000D2912">
      <w:pPr>
        <w:pStyle w:val="Body"/>
        <w:spacing w:before="8"/>
        <w:rPr>
          <w:b/>
          <w:bCs/>
          <w:sz w:val="19"/>
          <w:szCs w:val="19"/>
        </w:rPr>
      </w:pPr>
    </w:p>
    <w:p w14:paraId="130D5AD4" w14:textId="0D342796" w:rsidR="000D2912" w:rsidRDefault="00B6210B">
      <w:pPr>
        <w:pStyle w:val="BodyText"/>
        <w:spacing w:line="258" w:lineRule="auto"/>
        <w:ind w:right="112"/>
        <w:jc w:val="both"/>
        <w:rPr>
          <w:spacing w:val="-1"/>
        </w:rPr>
      </w:pPr>
      <w:r>
        <w:t>The</w:t>
      </w:r>
      <w:r>
        <w:rPr>
          <w:spacing w:val="-1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Director, Klaus Regling,</w:t>
      </w:r>
      <w:r>
        <w:rPr>
          <w:spacing w:val="-1"/>
        </w:rPr>
        <w:t xml:space="preserve"> </w:t>
      </w:r>
      <w:r w:rsidR="00946895">
        <w:rPr>
          <w:spacing w:val="-1"/>
        </w:rPr>
        <w:t xml:space="preserve">will </w:t>
      </w:r>
      <w:r w:rsidR="00946895" w:rsidRPr="00946895">
        <w:rPr>
          <w:spacing w:val="-1"/>
        </w:rPr>
        <w:t>present the key institutional developments and the financial results of the year</w:t>
      </w:r>
      <w:r w:rsidR="00946895">
        <w:rPr>
          <w:spacing w:val="-1"/>
        </w:rPr>
        <w:t xml:space="preserve"> 2020</w:t>
      </w:r>
      <w:r w:rsidR="00946895" w:rsidRPr="00946895">
        <w:rPr>
          <w:spacing w:val="-1"/>
        </w:rPr>
        <w:t xml:space="preserve">. </w:t>
      </w:r>
      <w:r w:rsidR="00946895">
        <w:rPr>
          <w:spacing w:val="-1"/>
        </w:rPr>
        <w:t xml:space="preserve">He </w:t>
      </w:r>
      <w:r>
        <w:t>will</w:t>
      </w:r>
      <w:r>
        <w:rPr>
          <w:spacing w:val="-1"/>
        </w:rPr>
        <w:t xml:space="preserve"> </w:t>
      </w:r>
      <w:r w:rsidR="00946895">
        <w:rPr>
          <w:spacing w:val="-1"/>
        </w:rPr>
        <w:t xml:space="preserve">also </w:t>
      </w:r>
      <w:r>
        <w:t>provide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ESM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year, including those related to funding, investment and lending</w:t>
      </w:r>
      <w:r w:rsidR="00946895">
        <w:t xml:space="preserve"> as well as the key challenges the institution will face going forward. </w:t>
      </w:r>
    </w:p>
    <w:p w14:paraId="026242EC" w14:textId="77777777" w:rsidR="000D2912" w:rsidRDefault="000D2912">
      <w:pPr>
        <w:pStyle w:val="BodyText"/>
        <w:spacing w:line="258" w:lineRule="auto"/>
        <w:ind w:right="112"/>
        <w:jc w:val="both"/>
        <w:rPr>
          <w:spacing w:val="-1"/>
        </w:rPr>
      </w:pPr>
    </w:p>
    <w:p w14:paraId="0EAE0B4A" w14:textId="5B786ADF" w:rsidR="000D2912" w:rsidRDefault="00B6210B">
      <w:pPr>
        <w:pStyle w:val="BodyText"/>
        <w:spacing w:line="258" w:lineRule="auto"/>
        <w:ind w:right="112"/>
        <w:jc w:val="both"/>
        <w:rPr>
          <w:spacing w:val="-1"/>
        </w:rPr>
      </w:pPr>
      <w:r>
        <w:t>The independent external auditor will prese</w:t>
      </w:r>
      <w:r w:rsidR="00E305DB">
        <w:t>nt the audit opinion on the 2020</w:t>
      </w:r>
      <w:r>
        <w:t xml:space="preserve"> annual accounts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Chairperson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Auditors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Auditors’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E305DB">
        <w:t>2020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Auditors’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Governors.</w:t>
      </w:r>
      <w:r>
        <w:rPr>
          <w:spacing w:val="-1"/>
        </w:rPr>
        <w:t xml:space="preserve"> </w:t>
      </w:r>
    </w:p>
    <w:p w14:paraId="45F3C829" w14:textId="77777777" w:rsidR="000D2912" w:rsidRDefault="000D2912">
      <w:pPr>
        <w:pStyle w:val="BodyText"/>
        <w:spacing w:line="258" w:lineRule="auto"/>
        <w:ind w:right="112"/>
        <w:jc w:val="both"/>
        <w:rPr>
          <w:spacing w:val="-1"/>
        </w:rPr>
      </w:pPr>
    </w:p>
    <w:p w14:paraId="3452B92B" w14:textId="29775980" w:rsidR="000D2912" w:rsidRDefault="00B6210B">
      <w:pPr>
        <w:pStyle w:val="BodyText"/>
        <w:spacing w:line="258" w:lineRule="auto"/>
        <w:ind w:right="112"/>
        <w:jc w:val="both"/>
        <w:rPr>
          <w:spacing w:val="-1"/>
        </w:rPr>
      </w:pP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Governors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E305DB">
        <w:t>2020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ESM, which includes a description of the ESM’s policies and activities as well as 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accounts.</w:t>
      </w:r>
      <w:r>
        <w:rPr>
          <w:spacing w:val="-1"/>
        </w:rPr>
        <w:t xml:space="preserve"> </w:t>
      </w:r>
    </w:p>
    <w:p w14:paraId="64966C27" w14:textId="77777777" w:rsidR="000D2912" w:rsidRDefault="000D2912">
      <w:pPr>
        <w:pStyle w:val="BodyText"/>
        <w:spacing w:line="258" w:lineRule="auto"/>
        <w:ind w:right="112"/>
        <w:jc w:val="both"/>
        <w:rPr>
          <w:spacing w:val="-1"/>
        </w:rPr>
      </w:pPr>
    </w:p>
    <w:p w14:paraId="3D84987B" w14:textId="24DBCF97" w:rsidR="003524F0" w:rsidRPr="00E305DB" w:rsidRDefault="00B6210B" w:rsidP="00E305DB">
      <w:pPr>
        <w:pStyle w:val="BodyText"/>
        <w:spacing w:line="258" w:lineRule="auto"/>
        <w:ind w:right="112"/>
        <w:jc w:val="both"/>
      </w:pPr>
      <w:r>
        <w:t>In</w:t>
      </w:r>
      <w:r>
        <w:rPr>
          <w:spacing w:val="-1"/>
        </w:rPr>
        <w:t xml:space="preserve"> </w:t>
      </w:r>
      <w:r>
        <w:t xml:space="preserve">accordance with the ESM By-Laws, </w:t>
      </w:r>
      <w:r w:rsidR="00A56BE8">
        <w:t>following its approval, the 20</w:t>
      </w:r>
      <w:r w:rsidR="00E305DB">
        <w:t>20</w:t>
      </w:r>
      <w:r>
        <w:t xml:space="preserve"> Annual Report of the ESM </w:t>
      </w:r>
      <w:proofErr w:type="gramStart"/>
      <w:r>
        <w:t>will</w:t>
      </w:r>
      <w:r>
        <w:rPr>
          <w:spacing w:val="-1"/>
        </w:rPr>
        <w:t xml:space="preserve"> </w:t>
      </w:r>
      <w:r>
        <w:t>be published</w:t>
      </w:r>
      <w:proofErr w:type="gramEnd"/>
      <w:r>
        <w:t xml:space="preserve"> on the ESM</w:t>
      </w:r>
      <w:r w:rsidR="00134945">
        <w:t>’s</w:t>
      </w:r>
      <w:r>
        <w:t xml:space="preserve"> website</w:t>
      </w:r>
      <w:r w:rsidR="00345433">
        <w:t xml:space="preserve">. </w:t>
      </w:r>
      <w:r>
        <w:t>The Board of Auditors’ annual report to the Board of Governors</w:t>
      </w:r>
      <w:r w:rsidR="00345433">
        <w:t>,</w:t>
      </w:r>
      <w:r>
        <w:rPr>
          <w:spacing w:val="-1"/>
        </w:rPr>
        <w:t xml:space="preserve"> </w:t>
      </w:r>
      <w:r w:rsidR="00345433">
        <w:t xml:space="preserve">together with the ESM management comments, </w:t>
      </w:r>
      <w:r>
        <w:t xml:space="preserve">will also </w:t>
      </w:r>
      <w:proofErr w:type="gramStart"/>
      <w:r>
        <w:t>be published</w:t>
      </w:r>
      <w:proofErr w:type="gramEnd"/>
      <w:r>
        <w:t xml:space="preserve"> on the ESM</w:t>
      </w:r>
      <w:r w:rsidR="00134945">
        <w:t>’s</w:t>
      </w:r>
      <w:r>
        <w:t xml:space="preserve"> website</w:t>
      </w:r>
      <w:r w:rsidR="00345433" w:rsidRPr="00345433">
        <w:t xml:space="preserve"> </w:t>
      </w:r>
      <w:r w:rsidR="00345433">
        <w:t>and will be shared with the national parliaments and supreme audit institutions of the ESM Members</w:t>
      </w:r>
      <w:r w:rsidR="00FB6ED3">
        <w:t>,</w:t>
      </w:r>
      <w:r w:rsidR="00345433">
        <w:t xml:space="preserve"> as well as with the European Court of Audito</w:t>
      </w:r>
      <w:r w:rsidR="00E305DB">
        <w:t>rs and the European Parliament.</w:t>
      </w:r>
    </w:p>
    <w:p w14:paraId="35494ECE" w14:textId="77777777" w:rsidR="00776B50" w:rsidRDefault="00776B50">
      <w:pPr>
        <w:pStyle w:val="BodyText"/>
        <w:spacing w:line="258" w:lineRule="auto"/>
        <w:ind w:left="0" w:right="112"/>
        <w:jc w:val="both"/>
        <w:rPr>
          <w:lang w:val="en-GB"/>
        </w:rPr>
      </w:pPr>
    </w:p>
    <w:p w14:paraId="3AE2BFB9" w14:textId="24DF5BAB" w:rsidR="00E305DB" w:rsidRDefault="00E305DB" w:rsidP="002478D1">
      <w:pPr>
        <w:pStyle w:val="BodyText"/>
        <w:spacing w:line="258" w:lineRule="auto"/>
        <w:ind w:left="0" w:right="112"/>
        <w:jc w:val="both"/>
      </w:pPr>
      <w:r>
        <w:t xml:space="preserve">The IMF Managing Director, </w:t>
      </w:r>
      <w:proofErr w:type="spellStart"/>
      <w:r>
        <w:t>Ms</w:t>
      </w:r>
      <w:proofErr w:type="spellEnd"/>
      <w:r>
        <w:t xml:space="preserve"> </w:t>
      </w:r>
      <w:proofErr w:type="spellStart"/>
      <w:r>
        <w:t>Kristalina</w:t>
      </w:r>
      <w:proofErr w:type="spellEnd"/>
      <w:r>
        <w:t xml:space="preserve"> Georgieva, will also participate in the </w:t>
      </w:r>
      <w:r w:rsidR="003E55DE">
        <w:t>Annual Meeting of the Board of Governors as a guest</w:t>
      </w:r>
      <w:r w:rsidR="00946895">
        <w:t>. She will address the ESM Board of Governors on the role of Regional Financing Arrangements (RFAs) as key players in the Global Financial Safety Net (GFSN)</w:t>
      </w:r>
      <w:r w:rsidR="003E55DE">
        <w:t>.</w:t>
      </w:r>
    </w:p>
    <w:p w14:paraId="23A310C8" w14:textId="77777777" w:rsidR="00E305DB" w:rsidRDefault="00E305DB" w:rsidP="002478D1">
      <w:pPr>
        <w:pStyle w:val="BodyText"/>
        <w:spacing w:line="258" w:lineRule="auto"/>
        <w:ind w:left="0" w:right="112"/>
        <w:jc w:val="both"/>
      </w:pPr>
    </w:p>
    <w:p w14:paraId="79A9FF15" w14:textId="16514B06" w:rsidR="002436F4" w:rsidRPr="002478D1" w:rsidRDefault="000404D1" w:rsidP="002478D1">
      <w:pPr>
        <w:pStyle w:val="BodyText"/>
        <w:spacing w:line="258" w:lineRule="auto"/>
        <w:ind w:left="0" w:right="112"/>
        <w:jc w:val="both"/>
      </w:pPr>
      <w:r>
        <w:t>Following the meeting, a</w:t>
      </w:r>
      <w:r w:rsidR="00B6210B">
        <w:t xml:space="preserve"> press conference </w:t>
      </w:r>
      <w:proofErr w:type="gramStart"/>
      <w:r w:rsidR="00B6210B">
        <w:t xml:space="preserve">will </w:t>
      </w:r>
      <w:r w:rsidR="00E714F9">
        <w:t>be held</w:t>
      </w:r>
      <w:proofErr w:type="gramEnd"/>
      <w:r w:rsidR="00E714F9">
        <w:t xml:space="preserve"> by </w:t>
      </w:r>
      <w:r w:rsidR="00431387">
        <w:t xml:space="preserve">the </w:t>
      </w:r>
      <w:r w:rsidR="00B6210B">
        <w:t>Chair</w:t>
      </w:r>
      <w:r w:rsidR="00431387">
        <w:t>person of t</w:t>
      </w:r>
      <w:r w:rsidR="00B6210B">
        <w:t xml:space="preserve">he Board of Governors, </w:t>
      </w:r>
      <w:r w:rsidR="00E305DB">
        <w:t xml:space="preserve">Paschal </w:t>
      </w:r>
      <w:proofErr w:type="spellStart"/>
      <w:r w:rsidR="00E305DB">
        <w:t>Donohoe</w:t>
      </w:r>
      <w:proofErr w:type="spellEnd"/>
      <w:r w:rsidR="00B6210B">
        <w:t xml:space="preserve">, and </w:t>
      </w:r>
      <w:r w:rsidR="00440BE6">
        <w:t xml:space="preserve">the </w:t>
      </w:r>
      <w:r w:rsidR="00E362F3">
        <w:t xml:space="preserve">ESM </w:t>
      </w:r>
      <w:r w:rsidR="00B6210B">
        <w:t>Managing Director, Klaus Regling</w:t>
      </w:r>
      <w:r w:rsidR="005602B8">
        <w:t>,</w:t>
      </w:r>
      <w:r w:rsidR="00B6210B">
        <w:t xml:space="preserve"> at </w:t>
      </w:r>
      <w:r w:rsidR="00D005E4" w:rsidRPr="00CC3464">
        <w:t>14</w:t>
      </w:r>
      <w:r w:rsidR="007F6B65">
        <w:t>.</w:t>
      </w:r>
      <w:r w:rsidR="00D005E4" w:rsidRPr="00CC3464">
        <w:t>00</w:t>
      </w:r>
      <w:r w:rsidR="00B6210B" w:rsidRPr="00CC3464">
        <w:t xml:space="preserve"> CET</w:t>
      </w:r>
      <w:r w:rsidR="002436F4">
        <w:t>.</w:t>
      </w:r>
    </w:p>
    <w:sectPr w:rsidR="002436F4" w:rsidRPr="002478D1" w:rsidSect="003F3BB9">
      <w:pgSz w:w="11920" w:h="16840"/>
      <w:pgMar w:top="1276" w:right="1320" w:bottom="426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FF74" w14:textId="77777777" w:rsidR="006865B1" w:rsidRDefault="006865B1">
      <w:r>
        <w:separator/>
      </w:r>
    </w:p>
  </w:endnote>
  <w:endnote w:type="continuationSeparator" w:id="0">
    <w:p w14:paraId="2C33EC95" w14:textId="77777777" w:rsidR="006865B1" w:rsidRDefault="006865B1">
      <w:r>
        <w:continuationSeparator/>
      </w:r>
    </w:p>
  </w:endnote>
  <w:endnote w:type="continuationNotice" w:id="1">
    <w:p w14:paraId="4BAAD7A8" w14:textId="77777777" w:rsidR="006865B1" w:rsidRDefault="00686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1BCDE" w14:textId="77777777" w:rsidR="006865B1" w:rsidRDefault="006865B1">
      <w:r>
        <w:separator/>
      </w:r>
    </w:p>
  </w:footnote>
  <w:footnote w:type="continuationSeparator" w:id="0">
    <w:p w14:paraId="22319E41" w14:textId="77777777" w:rsidR="006865B1" w:rsidRDefault="006865B1">
      <w:r>
        <w:continuationSeparator/>
      </w:r>
    </w:p>
  </w:footnote>
  <w:footnote w:type="continuationNotice" w:id="1">
    <w:p w14:paraId="287DA6A5" w14:textId="77777777" w:rsidR="006865B1" w:rsidRDefault="006865B1"/>
  </w:footnote>
  <w:footnote w:id="2">
    <w:p w14:paraId="0CAD265B" w14:textId="69D4C555" w:rsidR="009A164B" w:rsidRPr="00431387" w:rsidRDefault="009A164B">
      <w:pPr>
        <w:pStyle w:val="FootnoteText"/>
        <w:rPr>
          <w:rFonts w:ascii="Calibri" w:hAnsi="Calibri"/>
          <w:lang w:val="en-GB"/>
        </w:rPr>
      </w:pPr>
      <w:r w:rsidRPr="00431387">
        <w:rPr>
          <w:rStyle w:val="FootnoteReference"/>
          <w:rFonts w:ascii="Calibri" w:hAnsi="Calibri"/>
        </w:rPr>
        <w:footnoteRef/>
      </w:r>
      <w:r w:rsidRPr="00431387">
        <w:rPr>
          <w:rFonts w:ascii="Calibri" w:hAnsi="Calibri"/>
        </w:rPr>
        <w:t xml:space="preserve"> As a draft annotated </w:t>
      </w:r>
      <w:proofErr w:type="gramStart"/>
      <w:r w:rsidRPr="00431387">
        <w:rPr>
          <w:rFonts w:ascii="Calibri" w:hAnsi="Calibri"/>
        </w:rPr>
        <w:t>agenda</w:t>
      </w:r>
      <w:proofErr w:type="gramEnd"/>
      <w:r w:rsidRPr="00431387">
        <w:rPr>
          <w:rFonts w:ascii="Calibri" w:hAnsi="Calibri"/>
        </w:rPr>
        <w:t xml:space="preserve"> this document is provisional and subject to change until adopted.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000FD"/>
    <w:multiLevelType w:val="hybridMultilevel"/>
    <w:tmpl w:val="9FCA8D06"/>
    <w:numStyleLink w:val="ImportedStyle1"/>
  </w:abstractNum>
  <w:abstractNum w:abstractNumId="1" w15:restartNumberingAfterBreak="0">
    <w:nsid w:val="777B0C3E"/>
    <w:multiLevelType w:val="hybridMultilevel"/>
    <w:tmpl w:val="9FCA8D06"/>
    <w:styleLink w:val="ImportedStyle1"/>
    <w:lvl w:ilvl="0" w:tplc="BCA0EDEC">
      <w:start w:val="1"/>
      <w:numFmt w:val="bullet"/>
      <w:lvlText w:val="·"/>
      <w:lvlJc w:val="left"/>
      <w:pPr>
        <w:tabs>
          <w:tab w:val="left" w:pos="841"/>
        </w:tabs>
        <w:ind w:left="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2129E">
      <w:start w:val="1"/>
      <w:numFmt w:val="bullet"/>
      <w:lvlText w:val="·"/>
      <w:lvlJc w:val="left"/>
      <w:pPr>
        <w:tabs>
          <w:tab w:val="left" w:pos="841"/>
        </w:tabs>
        <w:ind w:left="1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20272">
      <w:start w:val="1"/>
      <w:numFmt w:val="bullet"/>
      <w:lvlText w:val="·"/>
      <w:lvlJc w:val="left"/>
      <w:pPr>
        <w:tabs>
          <w:tab w:val="left" w:pos="841"/>
        </w:tabs>
        <w:ind w:left="25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089F8">
      <w:start w:val="1"/>
      <w:numFmt w:val="bullet"/>
      <w:lvlText w:val="·"/>
      <w:lvlJc w:val="left"/>
      <w:pPr>
        <w:tabs>
          <w:tab w:val="left" w:pos="841"/>
        </w:tabs>
        <w:ind w:left="33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A5A64">
      <w:start w:val="1"/>
      <w:numFmt w:val="bullet"/>
      <w:lvlText w:val="·"/>
      <w:lvlJc w:val="left"/>
      <w:pPr>
        <w:tabs>
          <w:tab w:val="left" w:pos="841"/>
        </w:tabs>
        <w:ind w:left="42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E678D6">
      <w:start w:val="1"/>
      <w:numFmt w:val="bullet"/>
      <w:lvlText w:val="·"/>
      <w:lvlJc w:val="left"/>
      <w:pPr>
        <w:tabs>
          <w:tab w:val="left" w:pos="841"/>
        </w:tabs>
        <w:ind w:left="50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CD652">
      <w:start w:val="1"/>
      <w:numFmt w:val="bullet"/>
      <w:lvlText w:val="·"/>
      <w:lvlJc w:val="left"/>
      <w:pPr>
        <w:tabs>
          <w:tab w:val="left" w:pos="841"/>
        </w:tabs>
        <w:ind w:left="58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146D1C">
      <w:start w:val="1"/>
      <w:numFmt w:val="bullet"/>
      <w:lvlText w:val="·"/>
      <w:lvlJc w:val="left"/>
      <w:pPr>
        <w:tabs>
          <w:tab w:val="left" w:pos="841"/>
        </w:tabs>
        <w:ind w:left="6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B40902">
      <w:start w:val="1"/>
      <w:numFmt w:val="bullet"/>
      <w:lvlText w:val="·"/>
      <w:lvlJc w:val="left"/>
      <w:pPr>
        <w:tabs>
          <w:tab w:val="left" w:pos="841"/>
        </w:tabs>
        <w:ind w:left="75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A93816"/>
    <w:multiLevelType w:val="hybridMultilevel"/>
    <w:tmpl w:val="AAB0A782"/>
    <w:lvl w:ilvl="0" w:tplc="08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2"/>
    <w:rsid w:val="00001ED1"/>
    <w:rsid w:val="000404D1"/>
    <w:rsid w:val="00044109"/>
    <w:rsid w:val="00055912"/>
    <w:rsid w:val="00063BC5"/>
    <w:rsid w:val="00071EE8"/>
    <w:rsid w:val="000A0054"/>
    <w:rsid w:val="000C4EAF"/>
    <w:rsid w:val="000C71F1"/>
    <w:rsid w:val="000C744C"/>
    <w:rsid w:val="000D2912"/>
    <w:rsid w:val="000F7AE2"/>
    <w:rsid w:val="00106108"/>
    <w:rsid w:val="00134945"/>
    <w:rsid w:val="00180D80"/>
    <w:rsid w:val="001A17E4"/>
    <w:rsid w:val="001B119B"/>
    <w:rsid w:val="002079F3"/>
    <w:rsid w:val="002273E1"/>
    <w:rsid w:val="002436F4"/>
    <w:rsid w:val="00246961"/>
    <w:rsid w:val="002478D1"/>
    <w:rsid w:val="002678D9"/>
    <w:rsid w:val="00283B55"/>
    <w:rsid w:val="002D6846"/>
    <w:rsid w:val="002D7938"/>
    <w:rsid w:val="00345433"/>
    <w:rsid w:val="003524F0"/>
    <w:rsid w:val="00353715"/>
    <w:rsid w:val="003C6A33"/>
    <w:rsid w:val="003E55DE"/>
    <w:rsid w:val="003F3BB9"/>
    <w:rsid w:val="00417022"/>
    <w:rsid w:val="00431387"/>
    <w:rsid w:val="00440BE6"/>
    <w:rsid w:val="00464CA3"/>
    <w:rsid w:val="00480F91"/>
    <w:rsid w:val="004C0A23"/>
    <w:rsid w:val="004D1BAC"/>
    <w:rsid w:val="004D6E40"/>
    <w:rsid w:val="005602B8"/>
    <w:rsid w:val="005D4288"/>
    <w:rsid w:val="005D5F6D"/>
    <w:rsid w:val="005E6E84"/>
    <w:rsid w:val="005F417A"/>
    <w:rsid w:val="005F6DBB"/>
    <w:rsid w:val="006008C6"/>
    <w:rsid w:val="00650762"/>
    <w:rsid w:val="00650D5E"/>
    <w:rsid w:val="00655A55"/>
    <w:rsid w:val="00657422"/>
    <w:rsid w:val="006865B1"/>
    <w:rsid w:val="006D2721"/>
    <w:rsid w:val="006E2316"/>
    <w:rsid w:val="00702B63"/>
    <w:rsid w:val="0071024F"/>
    <w:rsid w:val="007169DA"/>
    <w:rsid w:val="0072512F"/>
    <w:rsid w:val="0077183B"/>
    <w:rsid w:val="00776B50"/>
    <w:rsid w:val="007F6068"/>
    <w:rsid w:val="007F6B65"/>
    <w:rsid w:val="008446FF"/>
    <w:rsid w:val="00857F66"/>
    <w:rsid w:val="008638AD"/>
    <w:rsid w:val="00873911"/>
    <w:rsid w:val="008A546B"/>
    <w:rsid w:val="008F6BF6"/>
    <w:rsid w:val="00946895"/>
    <w:rsid w:val="00962B40"/>
    <w:rsid w:val="009A0403"/>
    <w:rsid w:val="009A164B"/>
    <w:rsid w:val="00A365E9"/>
    <w:rsid w:val="00A56BE8"/>
    <w:rsid w:val="00A6670E"/>
    <w:rsid w:val="00A9425A"/>
    <w:rsid w:val="00B00F1F"/>
    <w:rsid w:val="00B178F0"/>
    <w:rsid w:val="00B22D6D"/>
    <w:rsid w:val="00B24163"/>
    <w:rsid w:val="00B6210B"/>
    <w:rsid w:val="00B85FAF"/>
    <w:rsid w:val="00B867BB"/>
    <w:rsid w:val="00B97EF3"/>
    <w:rsid w:val="00C07739"/>
    <w:rsid w:val="00CC3464"/>
    <w:rsid w:val="00CF5BD0"/>
    <w:rsid w:val="00D005E4"/>
    <w:rsid w:val="00D1690B"/>
    <w:rsid w:val="00D4511B"/>
    <w:rsid w:val="00D72B09"/>
    <w:rsid w:val="00DD2C1D"/>
    <w:rsid w:val="00DE5C7B"/>
    <w:rsid w:val="00E305DB"/>
    <w:rsid w:val="00E32E1B"/>
    <w:rsid w:val="00E362F3"/>
    <w:rsid w:val="00E40136"/>
    <w:rsid w:val="00E4719C"/>
    <w:rsid w:val="00E568FE"/>
    <w:rsid w:val="00E714F9"/>
    <w:rsid w:val="00EA580D"/>
    <w:rsid w:val="00EA787C"/>
    <w:rsid w:val="00F27AD7"/>
    <w:rsid w:val="00F45F94"/>
    <w:rsid w:val="00F57587"/>
    <w:rsid w:val="00FB6ED3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22889"/>
  <w15:docId w15:val="{A16EEE7C-ED0E-49BF-B150-ED59734B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  <w:ind w:left="48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pPr>
      <w:widowControl w:val="0"/>
      <w:ind w:left="840" w:hanging="360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39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387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138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6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7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66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70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6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7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70E"/>
    <w:rPr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2B4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B2E2D99FADD469146A50EC3D080DF" ma:contentTypeVersion="0" ma:contentTypeDescription="Create a new document." ma:contentTypeScope="" ma:versionID="0a6c15e701e0880696f66644d2642d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E533-7D3F-41C5-B482-670FF95A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5DC12-8A98-44AE-93C7-AF739890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7D82E-15B4-448E-BFB8-E415D5F78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4699F-221A-4FD6-B8A6-C48A807A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Vasco Campilho</dc:creator>
  <cp:lastModifiedBy>Vasco Campilho</cp:lastModifiedBy>
  <cp:revision>8</cp:revision>
  <cp:lastPrinted>2019-06-05T09:33:00Z</cp:lastPrinted>
  <dcterms:created xsi:type="dcterms:W3CDTF">2021-06-14T06:54:00Z</dcterms:created>
  <dcterms:modified xsi:type="dcterms:W3CDTF">2021-06-14T13:30:00Z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0x010100925B2E2D99FADD469146A50EC3D080DF</vt:lpwstr>
  </property>
</Properties>
</file>